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4E" w:rsidRPr="00E53978" w:rsidRDefault="00FB4B4E" w:rsidP="00966543">
      <w:pPr>
        <w:jc w:val="right"/>
        <w:rPr>
          <w:b/>
          <w:sz w:val="28"/>
          <w:szCs w:val="28"/>
        </w:rPr>
      </w:pPr>
      <w:r w:rsidRPr="00E53978">
        <w:rPr>
          <w:b/>
          <w:sz w:val="28"/>
          <w:szCs w:val="28"/>
        </w:rPr>
        <w:t>ПРОЕКТ</w:t>
      </w:r>
    </w:p>
    <w:p w:rsidR="00FB4B4E" w:rsidRDefault="00FB4B4E"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080498" w:rsidRDefault="00080498" w:rsidP="00080498">
      <w:pPr>
        <w:jc w:val="right"/>
        <w:rPr>
          <w:sz w:val="28"/>
          <w:szCs w:val="28"/>
        </w:rPr>
      </w:pPr>
    </w:p>
    <w:p w:rsidR="00D41B8D" w:rsidRDefault="00D41B8D" w:rsidP="00966543">
      <w:pPr>
        <w:suppressAutoHyphens/>
        <w:ind w:firstLine="0"/>
        <w:rPr>
          <w:rFonts w:eastAsia="Times New Roman"/>
          <w:b/>
          <w:bCs/>
          <w:sz w:val="28"/>
          <w:szCs w:val="28"/>
        </w:rPr>
      </w:pPr>
      <w:r>
        <w:rPr>
          <w:rFonts w:eastAsia="Times New Roman"/>
          <w:b/>
          <w:bCs/>
          <w:sz w:val="28"/>
          <w:szCs w:val="28"/>
        </w:rPr>
        <w:t xml:space="preserve"> </w:t>
      </w: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w:t>
      </w:r>
      <w:bookmarkStart w:id="0" w:name="_GoBack"/>
      <w:bookmarkEnd w:id="0"/>
      <w:r>
        <w:rPr>
          <w:rFonts w:eastAsia="Times New Roman"/>
          <w:b/>
          <w:bCs/>
          <w:sz w:val="28"/>
          <w:szCs w:val="28"/>
        </w:rPr>
        <w:t>проектирования Благовещенского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w:t>
            </w:r>
            <w:r>
              <w:rPr>
                <w:sz w:val="28"/>
                <w:szCs w:val="28"/>
              </w:rPr>
              <w:lastRenderedPageBreak/>
              <w:t>мого 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FB1505">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w:t>
            </w:r>
            <w:r>
              <w:rPr>
                <w:sz w:val="28"/>
                <w:szCs w:val="28"/>
              </w:rPr>
              <w:lastRenderedPageBreak/>
              <w:t>ти 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FB1505" w:rsidP="00FB1505">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FB1505"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w:t>
            </w:r>
            <w:r>
              <w:rPr>
                <w:sz w:val="28"/>
                <w:szCs w:val="28"/>
              </w:rPr>
              <w:lastRenderedPageBreak/>
              <w:t>детским 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Расчетные показатели </w:t>
            </w:r>
            <w:r>
              <w:rPr>
                <w:sz w:val="28"/>
                <w:szCs w:val="28"/>
              </w:rPr>
              <w:lastRenderedPageBreak/>
              <w:t>минимально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lastRenderedPageBreak/>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Pr="00FB1505" w:rsidRDefault="00FB1505" w:rsidP="00FB1505">
      <w:pPr>
        <w:widowControl w:val="0"/>
        <w:suppressAutoHyphens/>
        <w:ind w:firstLine="220"/>
        <w:jc w:val="right"/>
        <w:rPr>
          <w:rFonts w:eastAsia="Times New Roman"/>
          <w:sz w:val="28"/>
          <w:szCs w:val="28"/>
        </w:rPr>
      </w:pPr>
      <w:r w:rsidRPr="00FB1505">
        <w:rPr>
          <w:rFonts w:eastAsia="Times New Roman"/>
          <w:sz w:val="28"/>
          <w:szCs w:val="28"/>
        </w:rPr>
        <w:t>»;</w:t>
      </w:r>
    </w:p>
    <w:p w:rsidR="00EE5C8F" w:rsidRDefault="00EE5C8F" w:rsidP="00505E87">
      <w:pPr>
        <w:widowControl w:val="0"/>
        <w:suppressAutoHyphens/>
        <w:ind w:firstLine="220"/>
        <w:jc w:val="left"/>
        <w:rPr>
          <w:rFonts w:eastAsia="Times New Roman"/>
          <w:b/>
          <w:sz w:val="28"/>
          <w:szCs w:val="28"/>
        </w:rPr>
      </w:pP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Default="00FB1505" w:rsidP="00FB1505">
      <w:pPr>
        <w:widowControl w:val="0"/>
        <w:suppressAutoHyphens/>
        <w:ind w:firstLine="220"/>
        <w:jc w:val="right"/>
        <w:rPr>
          <w:rFonts w:eastAsia="Times New Roman"/>
          <w:sz w:val="28"/>
          <w:szCs w:val="28"/>
        </w:rPr>
      </w:pPr>
      <w:r w:rsidRPr="00FB1505">
        <w:rPr>
          <w:rFonts w:eastAsia="Times New Roman"/>
          <w:sz w:val="28"/>
          <w:szCs w:val="28"/>
        </w:rPr>
        <w:t>»;</w:t>
      </w:r>
    </w:p>
    <w:p w:rsidR="00FB1505" w:rsidRPr="00FB1505" w:rsidRDefault="00FB1505" w:rsidP="00FB1505">
      <w:pPr>
        <w:widowControl w:val="0"/>
        <w:suppressAutoHyphens/>
        <w:ind w:firstLine="220"/>
        <w:jc w:val="right"/>
        <w:rPr>
          <w:rFonts w:eastAsia="Times New Roman"/>
          <w:sz w:val="28"/>
          <w:szCs w:val="28"/>
        </w:rPr>
      </w:pP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lastRenderedPageBreak/>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lastRenderedPageBreak/>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400004" w:rsidRDefault="00FB1505" w:rsidP="00FB1505">
      <w:pPr>
        <w:widowControl w:val="0"/>
        <w:suppressAutoHyphens/>
        <w:ind w:firstLine="0"/>
        <w:jc w:val="right"/>
        <w:rPr>
          <w:rFonts w:eastAsia="Times New Roman"/>
          <w:sz w:val="28"/>
          <w:szCs w:val="28"/>
        </w:rPr>
      </w:pPr>
      <w:r w:rsidRPr="00FB1505">
        <w:rPr>
          <w:rFonts w:eastAsia="Times New Roman"/>
          <w:sz w:val="28"/>
          <w:szCs w:val="28"/>
        </w:rPr>
        <w:t>»;</w:t>
      </w:r>
    </w:p>
    <w:p w:rsidR="00FB1505" w:rsidRDefault="00FB1505" w:rsidP="00FB1505">
      <w:pPr>
        <w:widowControl w:val="0"/>
        <w:suppressAutoHyphens/>
        <w:ind w:firstLine="0"/>
        <w:jc w:val="right"/>
        <w:rPr>
          <w:rFonts w:eastAsia="Times New Roman"/>
          <w:sz w:val="28"/>
          <w:szCs w:val="28"/>
        </w:rPr>
      </w:pPr>
    </w:p>
    <w:p w:rsidR="00FB1505" w:rsidRPr="00FB1505" w:rsidRDefault="00FB1505" w:rsidP="00FB1505">
      <w:pPr>
        <w:widowControl w:val="0"/>
        <w:suppressAutoHyphens/>
        <w:ind w:firstLine="0"/>
        <w:jc w:val="right"/>
        <w:rPr>
          <w:rFonts w:eastAsia="Times New Roman"/>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lastRenderedPageBreak/>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 xml:space="preserve">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w:t>
            </w:r>
            <w:r>
              <w:rPr>
                <w:sz w:val="28"/>
                <w:szCs w:val="28"/>
              </w:rPr>
              <w:lastRenderedPageBreak/>
              <w:t>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lastRenderedPageBreak/>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lastRenderedPageBreak/>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BB" w:rsidRDefault="000A1BBB" w:rsidP="0047319A">
      <w:r>
        <w:separator/>
      </w:r>
    </w:p>
  </w:endnote>
  <w:endnote w:type="continuationSeparator" w:id="0">
    <w:p w:rsidR="000A1BBB" w:rsidRDefault="000A1BBB"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BB" w:rsidRDefault="000A1BBB" w:rsidP="0047319A">
      <w:r>
        <w:separator/>
      </w:r>
    </w:p>
  </w:footnote>
  <w:footnote w:type="continuationSeparator" w:id="0">
    <w:p w:rsidR="000A1BBB" w:rsidRDefault="000A1BBB"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E53978">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1BBB"/>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C5F"/>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8CA"/>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20A4E"/>
    <w:rsid w:val="00721562"/>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698A"/>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682C"/>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3978"/>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1505"/>
    <w:rsid w:val="00FB36E1"/>
    <w:rsid w:val="00FB3CB8"/>
    <w:rsid w:val="00FB4B4E"/>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F05042-9775-4226-952E-BE471B9E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14</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18227</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24</cp:revision>
  <cp:lastPrinted>2022-07-25T07:30:00Z</cp:lastPrinted>
  <dcterms:created xsi:type="dcterms:W3CDTF">2016-09-01T09:06:00Z</dcterms:created>
  <dcterms:modified xsi:type="dcterms:W3CDTF">2022-08-03T08:33:00Z</dcterms:modified>
</cp:coreProperties>
</file>