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52" w:rsidRDefault="00352660" w:rsidP="001B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-120015</wp:posOffset>
            </wp:positionV>
            <wp:extent cx="381000" cy="457200"/>
            <wp:effectExtent l="1905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660" w:rsidRDefault="00352660" w:rsidP="001B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352660" w:rsidRDefault="00352660" w:rsidP="00A761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52660" w:rsidRPr="00A76157" w:rsidRDefault="00352660" w:rsidP="00A761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157">
        <w:rPr>
          <w:rFonts w:ascii="Times New Roman" w:hAnsi="Times New Roman" w:cs="Times New Roman"/>
          <w:b/>
          <w:sz w:val="32"/>
          <w:szCs w:val="32"/>
        </w:rPr>
        <w:t>АДМИНИСТРАЦИЯ КУПИНСКОГО РАЙОНА</w:t>
      </w:r>
    </w:p>
    <w:p w:rsidR="00352660" w:rsidRPr="00A76157" w:rsidRDefault="00352660" w:rsidP="00B85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157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tbl>
      <w:tblPr>
        <w:tblW w:w="0" w:type="auto"/>
        <w:tblInd w:w="-138" w:type="dxa"/>
        <w:tblBorders>
          <w:top w:val="single" w:sz="4" w:space="0" w:color="auto"/>
        </w:tblBorders>
        <w:tblLook w:val="0000"/>
      </w:tblPr>
      <w:tblGrid>
        <w:gridCol w:w="9630"/>
      </w:tblGrid>
      <w:tr w:rsidR="001A5013" w:rsidTr="001A5013">
        <w:trPr>
          <w:trHeight w:val="100"/>
        </w:trPr>
        <w:tc>
          <w:tcPr>
            <w:tcW w:w="9630" w:type="dxa"/>
            <w:tcBorders>
              <w:top w:val="single" w:sz="18" w:space="0" w:color="auto"/>
            </w:tcBorders>
          </w:tcPr>
          <w:p w:rsidR="001A5013" w:rsidRDefault="001A5013" w:rsidP="00A761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52660" w:rsidRPr="00A76157" w:rsidRDefault="00352660" w:rsidP="00B85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7615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О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С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Т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А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Н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О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В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Л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Е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Н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И</w:t>
      </w:r>
      <w:r w:rsidR="00B85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157">
        <w:rPr>
          <w:rFonts w:ascii="Times New Roman" w:hAnsi="Times New Roman" w:cs="Times New Roman"/>
          <w:b/>
          <w:sz w:val="32"/>
          <w:szCs w:val="32"/>
        </w:rPr>
        <w:t>Е</w:t>
      </w:r>
    </w:p>
    <w:p w:rsidR="00352660" w:rsidRPr="00BD7545" w:rsidRDefault="00352660" w:rsidP="00A76157">
      <w:pPr>
        <w:pStyle w:val="a3"/>
      </w:pPr>
    </w:p>
    <w:p w:rsidR="00352660" w:rsidRPr="00EF4A45" w:rsidRDefault="00352660" w:rsidP="00A76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45">
        <w:rPr>
          <w:rFonts w:ascii="Times New Roman" w:hAnsi="Times New Roman" w:cs="Times New Roman"/>
          <w:b/>
          <w:sz w:val="28"/>
          <w:szCs w:val="28"/>
        </w:rPr>
        <w:t>От</w:t>
      </w:r>
      <w:r w:rsidR="00C625BE" w:rsidRPr="00EF4A45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A76157" w:rsidRPr="00EF4A45">
        <w:rPr>
          <w:rFonts w:ascii="Times New Roman" w:hAnsi="Times New Roman" w:cs="Times New Roman"/>
          <w:b/>
          <w:sz w:val="28"/>
          <w:szCs w:val="28"/>
        </w:rPr>
        <w:t>.12.2019</w:t>
      </w:r>
      <w:r w:rsidR="00C625BE" w:rsidRP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A45">
        <w:rPr>
          <w:rFonts w:ascii="Times New Roman" w:hAnsi="Times New Roman" w:cs="Times New Roman"/>
          <w:b/>
          <w:sz w:val="28"/>
          <w:szCs w:val="28"/>
        </w:rPr>
        <w:t>№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5BE" w:rsidRPr="00EF4A45">
        <w:rPr>
          <w:rFonts w:ascii="Times New Roman" w:hAnsi="Times New Roman" w:cs="Times New Roman"/>
          <w:b/>
          <w:sz w:val="28"/>
          <w:szCs w:val="28"/>
        </w:rPr>
        <w:t>1035</w:t>
      </w:r>
      <w:r w:rsidR="00A76157" w:rsidRPr="00EF4A4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52660" w:rsidRDefault="00352660" w:rsidP="00A76157">
      <w:pPr>
        <w:pStyle w:val="a3"/>
        <w:rPr>
          <w:sz w:val="28"/>
          <w:szCs w:val="28"/>
        </w:rPr>
      </w:pPr>
    </w:p>
    <w:p w:rsidR="00A76157" w:rsidRDefault="00A76157" w:rsidP="00A76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157">
        <w:rPr>
          <w:rFonts w:ascii="Times New Roman" w:hAnsi="Times New Roman" w:cs="Times New Roman"/>
          <w:b/>
          <w:sz w:val="28"/>
          <w:szCs w:val="28"/>
        </w:rPr>
        <w:t>О</w:t>
      </w:r>
      <w:r w:rsidR="005C6791">
        <w:rPr>
          <w:rFonts w:ascii="Times New Roman" w:hAnsi="Times New Roman" w:cs="Times New Roman"/>
          <w:b/>
          <w:sz w:val="28"/>
          <w:szCs w:val="28"/>
        </w:rPr>
        <w:t>б утверждении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финансовых затрат на работы </w:t>
      </w:r>
    </w:p>
    <w:p w:rsidR="00A76157" w:rsidRDefault="00A76157" w:rsidP="00A76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капитальному ремонту, ремонту и содержанию </w:t>
      </w:r>
    </w:p>
    <w:p w:rsidR="005C6791" w:rsidRDefault="00A76157" w:rsidP="00B85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  <w:r w:rsidR="005C6791"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  <w:r w:rsidR="00046E7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046E75">
        <w:rPr>
          <w:rFonts w:ascii="Times New Roman" w:hAnsi="Times New Roman" w:cs="Times New Roman"/>
          <w:b/>
          <w:sz w:val="28"/>
          <w:szCs w:val="28"/>
        </w:rPr>
        <w:t>Купинском</w:t>
      </w:r>
      <w:proofErr w:type="spellEnd"/>
      <w:r w:rsidR="00046E75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5C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D1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791">
        <w:rPr>
          <w:rFonts w:ascii="Times New Roman" w:hAnsi="Times New Roman" w:cs="Times New Roman"/>
          <w:b/>
          <w:sz w:val="28"/>
          <w:szCs w:val="28"/>
        </w:rPr>
        <w:t>и правил расчёта размера ассигнований местного бюджета Купинского района</w:t>
      </w:r>
    </w:p>
    <w:p w:rsidR="001B4C52" w:rsidRDefault="005C6791" w:rsidP="005C6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указанные цели</w:t>
      </w:r>
      <w:r w:rsidR="00A76157" w:rsidRPr="00A76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157" w:rsidRPr="00A76157" w:rsidRDefault="00A76157" w:rsidP="00A76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AF" w:rsidRPr="00ED41A4" w:rsidRDefault="001B4C52" w:rsidP="00446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4C5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1B4C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1B4C52">
        <w:rPr>
          <w:rFonts w:ascii="Times New Roman" w:hAnsi="Times New Roman" w:cs="Times New Roman"/>
          <w:bCs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4465AF" w:rsidRPr="00ED41A4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Новосибирской области от 05.02.2019 № 27-п «О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</w:t>
      </w:r>
      <w:proofErr w:type="gramEnd"/>
      <w:r w:rsidR="004465AF" w:rsidRPr="00ED41A4">
        <w:rPr>
          <w:rFonts w:ascii="Times New Roman" w:eastAsia="Calibri" w:hAnsi="Times New Roman" w:cs="Times New Roman"/>
          <w:sz w:val="28"/>
          <w:szCs w:val="28"/>
        </w:rPr>
        <w:t xml:space="preserve"> межмуниципального значения»,</w:t>
      </w:r>
    </w:p>
    <w:p w:rsidR="004465AF" w:rsidRPr="004465AF" w:rsidRDefault="004465AF" w:rsidP="001B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C52" w:rsidRPr="004465AF" w:rsidRDefault="004465AF" w:rsidP="004465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465A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85D17">
        <w:rPr>
          <w:rFonts w:ascii="Times New Roman" w:hAnsi="Times New Roman" w:cs="Times New Roman"/>
          <w:b/>
          <w:bCs/>
          <w:sz w:val="28"/>
          <w:szCs w:val="28"/>
        </w:rPr>
        <w:t xml:space="preserve"> Е Т</w:t>
      </w:r>
      <w:r w:rsidRPr="004465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4C52" w:rsidRPr="001B4C52" w:rsidRDefault="001B4C52" w:rsidP="00FF28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C52">
        <w:rPr>
          <w:rFonts w:ascii="Times New Roman" w:hAnsi="Times New Roman" w:cs="Times New Roman"/>
          <w:bCs/>
          <w:sz w:val="28"/>
          <w:szCs w:val="28"/>
        </w:rPr>
        <w:t xml:space="preserve">1. Утвердить нормативы финансовых затрат на капитальный ремонт, ремонт и содержание автомобильных дорог </w:t>
      </w:r>
      <w:r w:rsidR="00607F74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</w:t>
      </w:r>
      <w:r w:rsidR="0084186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84186C">
        <w:rPr>
          <w:rFonts w:ascii="Times New Roman" w:hAnsi="Times New Roman" w:cs="Times New Roman"/>
          <w:bCs/>
          <w:sz w:val="28"/>
          <w:szCs w:val="28"/>
        </w:rPr>
        <w:t>Купинском</w:t>
      </w:r>
      <w:proofErr w:type="spellEnd"/>
      <w:r w:rsidR="0084186C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</w:t>
      </w:r>
      <w:r w:rsidRPr="001B4C52">
        <w:rPr>
          <w:rFonts w:ascii="Times New Roman" w:hAnsi="Times New Roman" w:cs="Times New Roman"/>
          <w:bCs/>
          <w:sz w:val="28"/>
          <w:szCs w:val="28"/>
        </w:rPr>
        <w:t>в размере:</w:t>
      </w:r>
    </w:p>
    <w:p w:rsidR="00607F74" w:rsidRPr="00607F74" w:rsidRDefault="0084186C" w:rsidP="00FF2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641">
        <w:rPr>
          <w:rFonts w:ascii="Times New Roman" w:hAnsi="Times New Roman" w:cs="Times New Roman"/>
          <w:sz w:val="28"/>
          <w:szCs w:val="28"/>
        </w:rPr>
        <w:t>13 441,3</w:t>
      </w:r>
      <w:r w:rsidR="00607F74" w:rsidRPr="00607F74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="00607F74" w:rsidRPr="00607F7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607F74" w:rsidRPr="00607F74">
        <w:rPr>
          <w:rFonts w:ascii="Times New Roman" w:hAnsi="Times New Roman" w:cs="Times New Roman"/>
          <w:sz w:val="28"/>
          <w:szCs w:val="28"/>
        </w:rPr>
        <w:t xml:space="preserve"> - на капитальный ремонт автомобильных дорог;</w:t>
      </w:r>
    </w:p>
    <w:p w:rsidR="00607F74" w:rsidRDefault="0084186C" w:rsidP="00FF2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F74" w:rsidRPr="00607F74">
        <w:rPr>
          <w:rFonts w:ascii="Times New Roman" w:hAnsi="Times New Roman" w:cs="Times New Roman"/>
          <w:sz w:val="28"/>
          <w:szCs w:val="28"/>
        </w:rPr>
        <w:t>6 423,36 тыс. рублей/</w:t>
      </w:r>
      <w:proofErr w:type="gramStart"/>
      <w:r w:rsidR="00607F74" w:rsidRPr="00607F7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607F74" w:rsidRPr="00607F74">
        <w:rPr>
          <w:rFonts w:ascii="Times New Roman" w:hAnsi="Times New Roman" w:cs="Times New Roman"/>
          <w:sz w:val="28"/>
          <w:szCs w:val="28"/>
        </w:rPr>
        <w:t xml:space="preserve"> - на ремонт автомобильных дорог;</w:t>
      </w:r>
    </w:p>
    <w:p w:rsidR="00607F74" w:rsidRPr="00352660" w:rsidRDefault="0084186C" w:rsidP="00FF2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B14">
        <w:rPr>
          <w:rFonts w:ascii="Times New Roman" w:hAnsi="Times New Roman" w:cs="Times New Roman"/>
          <w:sz w:val="28"/>
          <w:szCs w:val="28"/>
        </w:rPr>
        <w:t>945,4</w:t>
      </w:r>
      <w:r w:rsidR="00917A1C" w:rsidRPr="00352660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="00917A1C" w:rsidRPr="0035266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917A1C" w:rsidRPr="00352660">
        <w:rPr>
          <w:rFonts w:ascii="Times New Roman" w:hAnsi="Times New Roman" w:cs="Times New Roman"/>
          <w:sz w:val="28"/>
          <w:szCs w:val="28"/>
        </w:rPr>
        <w:t xml:space="preserve"> – на содержание автомоби</w:t>
      </w:r>
      <w:r w:rsidR="00352660" w:rsidRPr="00352660">
        <w:rPr>
          <w:rFonts w:ascii="Times New Roman" w:hAnsi="Times New Roman" w:cs="Times New Roman"/>
          <w:sz w:val="28"/>
          <w:szCs w:val="28"/>
        </w:rPr>
        <w:t>льных дорог</w:t>
      </w:r>
    </w:p>
    <w:p w:rsidR="00FF2811" w:rsidRDefault="001B4C52" w:rsidP="006951C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C52">
        <w:rPr>
          <w:rFonts w:ascii="Times New Roman" w:hAnsi="Times New Roman" w:cs="Times New Roman"/>
          <w:bCs/>
          <w:sz w:val="28"/>
          <w:szCs w:val="28"/>
        </w:rPr>
        <w:t xml:space="preserve">2. Утвердить прилагаемые </w:t>
      </w:r>
      <w:hyperlink r:id="rId6" w:history="1">
        <w:r w:rsidRPr="001B4C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Правила</w:t>
        </w:r>
      </w:hyperlink>
      <w:r w:rsidRPr="001B4C52">
        <w:rPr>
          <w:rFonts w:ascii="Times New Roman" w:hAnsi="Times New Roman" w:cs="Times New Roman"/>
          <w:bCs/>
          <w:sz w:val="28"/>
          <w:szCs w:val="28"/>
        </w:rPr>
        <w:t xml:space="preserve"> расчета размера</w:t>
      </w:r>
      <w:r w:rsidR="009542AE">
        <w:rPr>
          <w:rFonts w:ascii="Times New Roman" w:hAnsi="Times New Roman" w:cs="Times New Roman"/>
          <w:bCs/>
          <w:sz w:val="28"/>
          <w:szCs w:val="28"/>
        </w:rPr>
        <w:t xml:space="preserve"> ассигнований</w:t>
      </w:r>
      <w:r w:rsidRPr="001B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1C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1B4C52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9542AE">
        <w:rPr>
          <w:rFonts w:ascii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 w:rsidRPr="001B4C52">
        <w:rPr>
          <w:rFonts w:ascii="Times New Roman" w:hAnsi="Times New Roman" w:cs="Times New Roman"/>
          <w:bCs/>
          <w:sz w:val="28"/>
          <w:szCs w:val="28"/>
        </w:rPr>
        <w:t xml:space="preserve"> на капитальный ремонт, ремонт и содержание автомобильных дорог </w:t>
      </w:r>
      <w:r w:rsidR="006951C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1B4C52">
        <w:rPr>
          <w:rFonts w:ascii="Times New Roman" w:hAnsi="Times New Roman" w:cs="Times New Roman"/>
          <w:bCs/>
          <w:sz w:val="28"/>
          <w:szCs w:val="28"/>
        </w:rPr>
        <w:t xml:space="preserve"> значения</w:t>
      </w:r>
      <w:r w:rsidR="009542AE">
        <w:rPr>
          <w:rFonts w:ascii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 w:rsidRPr="001B4C52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1C1" w:rsidRPr="001B4C52" w:rsidRDefault="006951C1" w:rsidP="006951C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11" w:rsidRPr="00FF2811" w:rsidRDefault="00FF2811" w:rsidP="00FF2811">
      <w:pPr>
        <w:ind w:firstLine="720"/>
        <w:jc w:val="both"/>
        <w:rPr>
          <w:rFonts w:ascii="Times New Roman" w:hAnsi="Times New Roman" w:cs="Times New Roman"/>
          <w:sz w:val="28"/>
        </w:rPr>
      </w:pPr>
      <w:r w:rsidRPr="00FF2811">
        <w:rPr>
          <w:rFonts w:ascii="Times New Roman" w:hAnsi="Times New Roman" w:cs="Times New Roman"/>
          <w:sz w:val="28"/>
        </w:rPr>
        <w:lastRenderedPageBreak/>
        <w:t xml:space="preserve">3.Отделу капитального строительства и архитектуры администрации Купинского района </w:t>
      </w:r>
      <w:r w:rsidR="009542AE">
        <w:rPr>
          <w:rFonts w:ascii="Times New Roman" w:hAnsi="Times New Roman" w:cs="Times New Roman"/>
          <w:sz w:val="28"/>
        </w:rPr>
        <w:t xml:space="preserve"> Новосибирской области (М.В.Амельченко) </w:t>
      </w:r>
      <w:r w:rsidRPr="00FF2811">
        <w:rPr>
          <w:rFonts w:ascii="Times New Roman" w:hAnsi="Times New Roman" w:cs="Times New Roman"/>
          <w:sz w:val="28"/>
        </w:rPr>
        <w:t xml:space="preserve">ежегодно при формировании планов дорожно-ремонтных работ, работ по содержанию автомобильных дорог руководствоваться нормативами, утвержденными </w:t>
      </w:r>
      <w:hyperlink w:anchor="P17" w:history="1">
        <w:r w:rsidRPr="00FF2811">
          <w:rPr>
            <w:rStyle w:val="a5"/>
            <w:rFonts w:ascii="Times New Roman" w:hAnsi="Times New Roman" w:cs="Times New Roman"/>
            <w:sz w:val="28"/>
          </w:rPr>
          <w:t>пунктом 1</w:t>
        </w:r>
      </w:hyperlink>
      <w:r w:rsidRPr="00FF2811">
        <w:rPr>
          <w:rFonts w:ascii="Times New Roman" w:hAnsi="Times New Roman" w:cs="Times New Roman"/>
          <w:sz w:val="28"/>
        </w:rPr>
        <w:t xml:space="preserve"> настоящего постановления</w:t>
      </w:r>
      <w:r w:rsidR="006951C1">
        <w:rPr>
          <w:rFonts w:ascii="Times New Roman" w:hAnsi="Times New Roman" w:cs="Times New Roman"/>
          <w:sz w:val="28"/>
        </w:rPr>
        <w:t>.</w:t>
      </w:r>
    </w:p>
    <w:p w:rsidR="00FF2811" w:rsidRPr="00FF2811" w:rsidRDefault="00FF2811" w:rsidP="00FF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81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2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811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  заместителя главы администрации Купинского района Новосибирской области  Д.А.Гусева.</w:t>
      </w:r>
    </w:p>
    <w:p w:rsidR="00352660" w:rsidRDefault="00352660" w:rsidP="00FF2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157" w:rsidRDefault="00A76157" w:rsidP="00FF2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60" w:rsidRPr="006951C1" w:rsidRDefault="00076DB8" w:rsidP="00695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 </w:t>
      </w:r>
      <w:r w:rsidR="00EF4A45">
        <w:rPr>
          <w:rFonts w:ascii="Times New Roman" w:hAnsi="Times New Roman" w:cs="Times New Roman"/>
          <w:sz w:val="28"/>
          <w:szCs w:val="28"/>
        </w:rPr>
        <w:t>Главы</w:t>
      </w:r>
      <w:r w:rsidR="006951C1" w:rsidRPr="006951C1">
        <w:rPr>
          <w:rFonts w:ascii="Times New Roman" w:hAnsi="Times New Roman" w:cs="Times New Roman"/>
          <w:sz w:val="28"/>
          <w:szCs w:val="28"/>
        </w:rPr>
        <w:t xml:space="preserve"> Купинского района</w:t>
      </w:r>
    </w:p>
    <w:p w:rsidR="006951C1" w:rsidRPr="006951C1" w:rsidRDefault="006951C1" w:rsidP="00695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C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51C1">
        <w:rPr>
          <w:rFonts w:ascii="Times New Roman" w:hAnsi="Times New Roman" w:cs="Times New Roman"/>
          <w:sz w:val="28"/>
          <w:szCs w:val="28"/>
        </w:rPr>
        <w:t xml:space="preserve">   </w:t>
      </w:r>
      <w:r w:rsidR="00076DB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76DB8">
        <w:rPr>
          <w:rFonts w:ascii="Times New Roman" w:hAnsi="Times New Roman" w:cs="Times New Roman"/>
          <w:sz w:val="28"/>
          <w:szCs w:val="28"/>
        </w:rPr>
        <w:t>А.А.Воличенко</w:t>
      </w:r>
      <w:proofErr w:type="spellEnd"/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046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1C1" w:rsidRDefault="006951C1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51C1" w:rsidRPr="006951C1" w:rsidRDefault="006951C1" w:rsidP="006951C1">
      <w:pPr>
        <w:pStyle w:val="a3"/>
        <w:rPr>
          <w:rFonts w:ascii="Times New Roman" w:hAnsi="Times New Roman" w:cs="Times New Roman"/>
        </w:rPr>
      </w:pPr>
      <w:r w:rsidRPr="006951C1">
        <w:rPr>
          <w:rFonts w:ascii="Times New Roman" w:hAnsi="Times New Roman" w:cs="Times New Roman"/>
        </w:rPr>
        <w:t>Тимонова</w:t>
      </w:r>
    </w:p>
    <w:p w:rsidR="006951C1" w:rsidRPr="006C1938" w:rsidRDefault="006951C1" w:rsidP="006C1938">
      <w:pPr>
        <w:pStyle w:val="a3"/>
        <w:rPr>
          <w:rFonts w:ascii="Times New Roman" w:hAnsi="Times New Roman" w:cs="Times New Roman"/>
        </w:rPr>
      </w:pPr>
      <w:r w:rsidRPr="006951C1">
        <w:rPr>
          <w:rFonts w:ascii="Times New Roman" w:hAnsi="Times New Roman" w:cs="Times New Roman"/>
        </w:rPr>
        <w:t>21-61</w:t>
      </w:r>
      <w:r w:rsidR="006C1938">
        <w:rPr>
          <w:rFonts w:ascii="Times New Roman" w:hAnsi="Times New Roman" w:cs="Times New Roman"/>
        </w:rPr>
        <w:t>7</w:t>
      </w:r>
    </w:p>
    <w:p w:rsidR="00352660" w:rsidRPr="00B85D17" w:rsidRDefault="00352660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2660" w:rsidRPr="00B85D17" w:rsidRDefault="00352660" w:rsidP="00FF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186C" w:rsidRPr="00B85D17" w:rsidRDefault="00352660" w:rsidP="002B75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186C" w:rsidRPr="00B85D1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352660" w:rsidRPr="00B85D17" w:rsidRDefault="0084186C" w:rsidP="002B75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2660" w:rsidRPr="00B85D17" w:rsidRDefault="0084186C" w:rsidP="002B75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от</w:t>
      </w:r>
      <w:r w:rsidR="00EF4A45">
        <w:rPr>
          <w:rFonts w:ascii="Times New Roman" w:hAnsi="Times New Roman" w:cs="Times New Roman"/>
          <w:sz w:val="28"/>
          <w:szCs w:val="28"/>
        </w:rPr>
        <w:t xml:space="preserve"> 17</w:t>
      </w:r>
      <w:r w:rsidRPr="00B85D17">
        <w:rPr>
          <w:rFonts w:ascii="Times New Roman" w:hAnsi="Times New Roman" w:cs="Times New Roman"/>
          <w:sz w:val="28"/>
          <w:szCs w:val="28"/>
        </w:rPr>
        <w:t>.12.2019 N</w:t>
      </w:r>
      <w:r w:rsidR="00EF4A45">
        <w:rPr>
          <w:rFonts w:ascii="Times New Roman" w:hAnsi="Times New Roman" w:cs="Times New Roman"/>
          <w:sz w:val="28"/>
          <w:szCs w:val="28"/>
        </w:rPr>
        <w:t>1035</w:t>
      </w:r>
      <w:r w:rsidRPr="00B85D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660" w:rsidRPr="00B85D17" w:rsidRDefault="00352660" w:rsidP="002B75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75CC" w:rsidRPr="00B85D17" w:rsidRDefault="002B75CC" w:rsidP="002B7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Start w:id="1" w:name="_Hlk4665348"/>
      <w:bookmarkEnd w:id="0"/>
      <w:r w:rsidRPr="00B85D1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B75CC" w:rsidRPr="00B85D17" w:rsidRDefault="002B75CC" w:rsidP="002B7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17">
        <w:rPr>
          <w:rFonts w:ascii="Times New Roman" w:hAnsi="Times New Roman" w:cs="Times New Roman"/>
          <w:b/>
          <w:sz w:val="28"/>
          <w:szCs w:val="28"/>
        </w:rPr>
        <w:t>расчета размера ассигнований местного бюджета</w:t>
      </w:r>
      <w:r w:rsidR="009542AE" w:rsidRPr="00B85D17">
        <w:rPr>
          <w:rFonts w:ascii="Times New Roman" w:hAnsi="Times New Roman" w:cs="Times New Roman"/>
          <w:b/>
          <w:sz w:val="28"/>
          <w:szCs w:val="28"/>
        </w:rPr>
        <w:t xml:space="preserve"> Купинского района Новосибирской области </w:t>
      </w:r>
      <w:r w:rsidRPr="00B85D17">
        <w:rPr>
          <w:rFonts w:ascii="Times New Roman" w:hAnsi="Times New Roman" w:cs="Times New Roman"/>
          <w:b/>
          <w:sz w:val="28"/>
          <w:szCs w:val="28"/>
        </w:rPr>
        <w:t xml:space="preserve"> на капитальный ремонт</w:t>
      </w:r>
      <w:r w:rsidR="00FB0641" w:rsidRPr="00B85D17">
        <w:rPr>
          <w:rFonts w:ascii="Times New Roman" w:hAnsi="Times New Roman" w:cs="Times New Roman"/>
          <w:b/>
          <w:sz w:val="28"/>
          <w:szCs w:val="28"/>
        </w:rPr>
        <w:t>,</w:t>
      </w:r>
    </w:p>
    <w:p w:rsidR="002B75CC" w:rsidRPr="00B85D17" w:rsidRDefault="002B75CC" w:rsidP="002B7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17">
        <w:rPr>
          <w:rFonts w:ascii="Times New Roman" w:hAnsi="Times New Roman" w:cs="Times New Roman"/>
          <w:b/>
          <w:sz w:val="28"/>
          <w:szCs w:val="28"/>
        </w:rPr>
        <w:t xml:space="preserve"> ремонт и содержание автомобильных дорог местного значения</w:t>
      </w:r>
    </w:p>
    <w:p w:rsidR="002B75CC" w:rsidRPr="00B85D17" w:rsidRDefault="002B75CC" w:rsidP="002B7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17">
        <w:rPr>
          <w:rFonts w:ascii="Times New Roman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</w:p>
    <w:p w:rsidR="009542AE" w:rsidRPr="00B85D17" w:rsidRDefault="009542AE" w:rsidP="002B7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равила)</w:t>
      </w:r>
    </w:p>
    <w:p w:rsidR="00076DB8" w:rsidRDefault="00076DB8" w:rsidP="000563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</w:p>
    <w:p w:rsidR="002B75CC" w:rsidRPr="00B85D17" w:rsidRDefault="002B75CC" w:rsidP="000563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1.Настоящие Правила применяются для определения размера ассигнований местного бюджета</w:t>
      </w:r>
      <w:r w:rsidR="009542AE" w:rsidRPr="00B85D1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  <w:r w:rsidRPr="00B85D17">
        <w:rPr>
          <w:rFonts w:ascii="Times New Roman" w:hAnsi="Times New Roman" w:cs="Times New Roman"/>
          <w:sz w:val="28"/>
          <w:szCs w:val="28"/>
        </w:rPr>
        <w:t>, предусматриваемых на капитальный ремонт, ремонт, содержание автомобильных дорог Купинского района Новосибирской области при формировании бюджета Купинского района</w:t>
      </w:r>
      <w:r w:rsidR="009542AE" w:rsidRP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85D17">
        <w:rPr>
          <w:rFonts w:ascii="Times New Roman" w:hAnsi="Times New Roman" w:cs="Times New Roman"/>
          <w:sz w:val="28"/>
          <w:szCs w:val="28"/>
        </w:rPr>
        <w:t xml:space="preserve">  на очередной финансовый год и плановый период.</w:t>
      </w:r>
    </w:p>
    <w:p w:rsidR="00076DB8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2.Размер ассигнований бюджета Купинского района Новосибирской области на капитальный ремонт, ремонт и содержание автомобильных дорог на соответствующий финансовый год (НБА) рассчитывается по формуле: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НБА=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Нсод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+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Нкап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+ </w:t>
      </w:r>
      <w:bookmarkStart w:id="3" w:name="_Hlk4656055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Нрем</w:t>
      </w:r>
      <w:bookmarkEnd w:id="3"/>
      <w:proofErr w:type="spellEnd"/>
      <w:r w:rsidRPr="00B85D17">
        <w:rPr>
          <w:rFonts w:ascii="Times New Roman" w:hAnsi="Times New Roman" w:cs="Times New Roman"/>
          <w:sz w:val="28"/>
          <w:szCs w:val="28"/>
        </w:rPr>
        <w:t>, где: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Нсод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размер бюджетных ассигнований на содержание автомобильных дорог (тыс. рублей)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Нкап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азмер бюджетных ассигнований бюджета Купинского района Новосибирской области на капитальный ремонт автомобильных дорог (тыс. рублей)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размер бюджетных ассигнований бюджета Купинского района Новосибирской области на ремонт автомобильных дорог (тыс. рублей).                                                                </w:t>
      </w:r>
    </w:p>
    <w:p w:rsidR="00076DB8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DB8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3.Нормативы финансовых затрат по капитальному ремонту, ремонту и содержанию автомобильных дорог местного значения в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районе  Новосибирской области (дале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НФЗ), применяемые </w:t>
      </w:r>
      <w:bookmarkStart w:id="4" w:name="_Hlk4662808"/>
      <w:r w:rsidRPr="00B85D17">
        <w:rPr>
          <w:rFonts w:ascii="Times New Roman" w:hAnsi="Times New Roman" w:cs="Times New Roman"/>
          <w:sz w:val="28"/>
          <w:szCs w:val="28"/>
        </w:rPr>
        <w:t xml:space="preserve">для определения размера ассигнований бюджета, предусматриваемых на капитальный ремонт, ремонт и содержание автомобильных дорог, Купинского района при формировании бюджета на очередной финансовый год и плановый период, установлены на существующие в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автомобильные дороги.                                                                                                                               </w:t>
      </w:r>
      <w:r w:rsidR="0005637E" w:rsidRPr="00B85D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6DB8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4.Размер бюджетных ассигнований бюджета </w:t>
      </w:r>
      <w:r w:rsidR="006A6E97" w:rsidRPr="00B85D1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 на содержание автомобильных дорог (</w:t>
      </w:r>
      <w:bookmarkStart w:id="5" w:name="_Hlk4656157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Нсод</w:t>
      </w:r>
      <w:bookmarkEnd w:id="5"/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.) рассчитывается по формуле:                                                                            </w:t>
      </w:r>
      <w:bookmarkStart w:id="6" w:name="_Hlk4657093"/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Нсод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=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(L</w:t>
      </w:r>
      <w:r w:rsidR="00EA0774" w:rsidRPr="00B85D1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1E7054" w:rsidRPr="00B85D17">
        <w:rPr>
          <w:rFonts w:ascii="Times New Roman" w:hAnsi="Times New Roman" w:cs="Times New Roman"/>
          <w:sz w:val="28"/>
          <w:szCs w:val="28"/>
        </w:rPr>
        <w:t>щп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Lгщп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Hvсод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4656834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bookmarkEnd w:id="7"/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8" w:name="_Hlk4656904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КБОсод</w:t>
      </w:r>
      <w:bookmarkEnd w:id="8"/>
      <w:proofErr w:type="spellEnd"/>
      <w:r w:rsidRPr="00B85D17">
        <w:rPr>
          <w:rFonts w:ascii="Times New Roman" w:hAnsi="Times New Roman" w:cs="Times New Roman"/>
          <w:sz w:val="28"/>
          <w:szCs w:val="28"/>
        </w:rPr>
        <w:t>. , где:</w:t>
      </w:r>
      <w:bookmarkEnd w:id="6"/>
      <w:r w:rsidRPr="00B85D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L,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Lгщп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 грунтощебеночным покрытием (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гщп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)</w:t>
      </w:r>
      <w:r w:rsidR="0005637E" w:rsidRPr="00B85D17">
        <w:rPr>
          <w:rFonts w:ascii="Times New Roman" w:hAnsi="Times New Roman" w:cs="Times New Roman"/>
          <w:sz w:val="28"/>
          <w:szCs w:val="28"/>
        </w:rPr>
        <w:t>, грунтовым покрытием (</w:t>
      </w:r>
      <w:proofErr w:type="spellStart"/>
      <w:r w:rsidR="0005637E" w:rsidRPr="00B85D1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05637E" w:rsidRPr="00B85D17">
        <w:rPr>
          <w:rFonts w:ascii="Times New Roman" w:hAnsi="Times New Roman" w:cs="Times New Roman"/>
          <w:sz w:val="28"/>
          <w:szCs w:val="28"/>
        </w:rPr>
        <w:t>)</w:t>
      </w:r>
      <w:r w:rsidRPr="00B85D17">
        <w:rPr>
          <w:rFonts w:ascii="Times New Roman" w:hAnsi="Times New Roman" w:cs="Times New Roman"/>
          <w:sz w:val="28"/>
          <w:szCs w:val="28"/>
        </w:rPr>
        <w:t xml:space="preserve"> на момент проведения расчета (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- </w:t>
      </w:r>
      <w:bookmarkStart w:id="9" w:name="_Hlk4667577"/>
      <w:r w:rsidRPr="00B85D17">
        <w:rPr>
          <w:rFonts w:ascii="Times New Roman" w:hAnsi="Times New Roman" w:cs="Times New Roman"/>
          <w:sz w:val="28"/>
          <w:szCs w:val="28"/>
        </w:rPr>
        <w:t xml:space="preserve">коэффициент, учитывающий дифференциацию стоимости содержания автомобильных дорог по типу покрытия, согласно приложению </w:t>
      </w:r>
      <w:hyperlink r:id="rId7" w:anchor="/document/47540416/entry/1300" w:history="1">
        <w:r w:rsidRPr="00B85D1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542AE" w:rsidRPr="00B85D17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Pr="00B85D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5CC" w:rsidRPr="00B85D17" w:rsidRDefault="00B85D17" w:rsidP="00B8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0F5">
        <w:rPr>
          <w:rFonts w:ascii="Times New Roman" w:eastAsia="Calibri" w:hAnsi="Times New Roman" w:cs="Times New Roman"/>
          <w:sz w:val="28"/>
          <w:szCs w:val="28"/>
        </w:rPr>
        <w:t>Н</w:t>
      </w:r>
      <w:r w:rsidRPr="00E53DE5">
        <w:rPr>
          <w:rFonts w:ascii="Times New Roman" w:eastAsia="Calibri" w:hAnsi="Times New Roman" w:cs="Times New Roman"/>
          <w:sz w:val="28"/>
          <w:szCs w:val="28"/>
          <w:vertAlign w:val="subscript"/>
        </w:rPr>
        <w:t>V.сод</w:t>
      </w:r>
      <w:proofErr w:type="spellEnd"/>
      <w:proofErr w:type="gramStart"/>
      <w:r w:rsidRPr="00E53DE5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proofErr w:type="gramEnd"/>
      <w:r w:rsidRPr="00E53DE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E60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8E60F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E60F5">
        <w:rPr>
          <w:rFonts w:ascii="Times New Roman" w:eastAsia="Calibri" w:hAnsi="Times New Roman" w:cs="Times New Roman"/>
          <w:sz w:val="28"/>
          <w:szCs w:val="28"/>
        </w:rPr>
        <w:t xml:space="preserve">становленный </w:t>
      </w:r>
      <w:r>
        <w:rPr>
          <w:rFonts w:ascii="Times New Roman" w:hAnsi="Times New Roman"/>
          <w:sz w:val="28"/>
          <w:szCs w:val="28"/>
        </w:rPr>
        <w:t>Администрацией Купинского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8E60F5">
        <w:rPr>
          <w:rFonts w:ascii="Times New Roman" w:eastAsia="Calibri" w:hAnsi="Times New Roman" w:cs="Times New Roman"/>
          <w:sz w:val="28"/>
          <w:szCs w:val="28"/>
        </w:rPr>
        <w:t xml:space="preserve"> норматив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F5">
        <w:rPr>
          <w:rFonts w:ascii="Times New Roman" w:eastAsia="Calibri" w:hAnsi="Times New Roman" w:cs="Times New Roman"/>
          <w:sz w:val="28"/>
          <w:szCs w:val="28"/>
        </w:rPr>
        <w:t>финансовых затрат на содержание автомобильных дорог V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F5">
        <w:rPr>
          <w:rFonts w:ascii="Times New Roman" w:eastAsia="Calibri" w:hAnsi="Times New Roman" w:cs="Times New Roman"/>
          <w:sz w:val="28"/>
          <w:szCs w:val="28"/>
        </w:rPr>
        <w:t>(тыс. рублей/км);</w:t>
      </w:r>
      <w:r w:rsidR="002B75CC" w:rsidRPr="00B85D1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</w:t>
      </w:r>
      <w:hyperlink r:id="rId8" w:anchor="/document/149900/entry/0" w:history="1">
        <w:r w:rsidRPr="00B85D17">
          <w:rPr>
            <w:rFonts w:ascii="Times New Roman" w:hAnsi="Times New Roman" w:cs="Times New Roman"/>
            <w:sz w:val="28"/>
            <w:szCs w:val="28"/>
          </w:rPr>
          <w:t>индекс</w:t>
        </w:r>
      </w:hyperlink>
      <w:r w:rsidRPr="00B85D17">
        <w:rPr>
          <w:rFonts w:ascii="Times New Roman" w:hAnsi="Times New Roman" w:cs="Times New Roman"/>
          <w:sz w:val="28"/>
          <w:szCs w:val="28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</w:t>
      </w:r>
      <w:r w:rsidR="00524C2F" w:rsidRPr="00B85D17">
        <w:rPr>
          <w:rFonts w:ascii="Times New Roman" w:hAnsi="Times New Roman" w:cs="Times New Roman"/>
          <w:sz w:val="28"/>
          <w:szCs w:val="28"/>
        </w:rPr>
        <w:t>9</w:t>
      </w:r>
      <w:r w:rsidRPr="00B85D17">
        <w:rPr>
          <w:rFonts w:ascii="Times New Roman" w:hAnsi="Times New Roman" w:cs="Times New Roman"/>
          <w:sz w:val="28"/>
          <w:szCs w:val="28"/>
        </w:rPr>
        <w:t> год), разработанный Министерством экономического развития Новосибирской области  для прогноза социально-экономического развития</w:t>
      </w:r>
      <w:r w:rsidR="006951C1" w:rsidRPr="00B85D17">
        <w:rPr>
          <w:rFonts w:ascii="Times New Roman" w:hAnsi="Times New Roman" w:cs="Times New Roman"/>
          <w:sz w:val="28"/>
          <w:szCs w:val="28"/>
        </w:rPr>
        <w:t>;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КБОсод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.- коэффициент бюджетной обеспеченности содержания автомобильных дорог, определяется в зависимости от размера бюджетных ассигнований, направляемых на содержание автомобильных дорог.   </w:t>
      </w:r>
    </w:p>
    <w:p w:rsidR="00076DB8" w:rsidRDefault="00076DB8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5.Коэффициенты бюджетной обеспеченности содержания, капитального ремонта и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 автомобильных дорог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 рассчитываются в пределах средств дорожного фонда, определенного в соответствии с </w:t>
      </w:r>
      <w:r w:rsidR="009542AE" w:rsidRPr="00B85D17">
        <w:rPr>
          <w:rFonts w:ascii="Times New Roman" w:hAnsi="Times New Roman" w:cs="Times New Roman"/>
          <w:sz w:val="28"/>
          <w:szCs w:val="28"/>
        </w:rPr>
        <w:t>Порядком формирования и использования бюджетных ассигнований муниципального дорожного фонда Купинского района Новосибирской области утвержденны</w:t>
      </w:r>
      <w:r w:rsidRPr="00B85D17">
        <w:rPr>
          <w:rFonts w:ascii="Times New Roman" w:hAnsi="Times New Roman" w:cs="Times New Roman"/>
          <w:sz w:val="28"/>
          <w:szCs w:val="28"/>
        </w:rPr>
        <w:t xml:space="preserve">м решением Совета  депутатов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85D17">
        <w:rPr>
          <w:rFonts w:ascii="Times New Roman" w:hAnsi="Times New Roman" w:cs="Times New Roman"/>
          <w:sz w:val="28"/>
          <w:szCs w:val="28"/>
        </w:rPr>
        <w:t xml:space="preserve"> от </w:t>
      </w:r>
      <w:r w:rsidR="009542AE" w:rsidRPr="00B85D17">
        <w:rPr>
          <w:rFonts w:ascii="Times New Roman" w:hAnsi="Times New Roman" w:cs="Times New Roman"/>
          <w:sz w:val="28"/>
          <w:szCs w:val="28"/>
        </w:rPr>
        <w:t>10.09</w:t>
      </w:r>
      <w:r w:rsidR="00FB0641" w:rsidRPr="00B85D17">
        <w:rPr>
          <w:rFonts w:ascii="Times New Roman" w:hAnsi="Times New Roman" w:cs="Times New Roman"/>
          <w:sz w:val="28"/>
          <w:szCs w:val="28"/>
        </w:rPr>
        <w:t>.2013 №171</w:t>
      </w:r>
      <w:r w:rsidRPr="00B85D17">
        <w:rPr>
          <w:rFonts w:ascii="Times New Roman" w:hAnsi="Times New Roman" w:cs="Times New Roman"/>
          <w:sz w:val="28"/>
          <w:szCs w:val="28"/>
        </w:rPr>
        <w:t>.</w:t>
      </w:r>
    </w:p>
    <w:p w:rsidR="00076DB8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6.Размер бюджетных ассигнований на капитальный ремонт автомобильных дорог </w:t>
      </w:r>
      <w:r w:rsidR="006A6E97" w:rsidRPr="00B85D1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 на соответствующий финансовый год (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.) рассчитывается по формуле: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Нкапрем.=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Hv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4657614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Lкапрем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., где:</w:t>
      </w:r>
    </w:p>
    <w:p w:rsidR="00EA0774" w:rsidRPr="00B85D17" w:rsidRDefault="00EA0774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Hvкапрем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</w:t>
      </w:r>
      <w:bookmarkStart w:id="11" w:name="_Hlk4667458"/>
      <w:r w:rsidRPr="00B85D17">
        <w:rPr>
          <w:rFonts w:ascii="Times New Roman" w:hAnsi="Times New Roman" w:cs="Times New Roman"/>
          <w:sz w:val="28"/>
          <w:szCs w:val="28"/>
        </w:rPr>
        <w:t>установленный НФЗ на капитальный ремонт автомобильных дорог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51C1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.- </w:t>
      </w:r>
      <w:hyperlink r:id="rId9" w:anchor="/document/149900/entry/0" w:history="1">
        <w:r w:rsidRPr="00B85D17">
          <w:rPr>
            <w:rFonts w:ascii="Times New Roman" w:hAnsi="Times New Roman" w:cs="Times New Roman"/>
            <w:sz w:val="28"/>
            <w:szCs w:val="28"/>
          </w:rPr>
          <w:t>индекс</w:t>
        </w:r>
      </w:hyperlink>
      <w:r w:rsidRPr="00B85D17">
        <w:rPr>
          <w:rFonts w:ascii="Times New Roman" w:hAnsi="Times New Roman" w:cs="Times New Roman"/>
          <w:sz w:val="28"/>
          <w:szCs w:val="28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</w:t>
      </w:r>
      <w:r w:rsidR="00FB0641" w:rsidRPr="00B85D17">
        <w:rPr>
          <w:rFonts w:ascii="Times New Roman" w:hAnsi="Times New Roman" w:cs="Times New Roman"/>
          <w:sz w:val="28"/>
          <w:szCs w:val="28"/>
        </w:rPr>
        <w:t>9</w:t>
      </w:r>
      <w:r w:rsidRPr="00B85D17">
        <w:rPr>
          <w:rFonts w:ascii="Times New Roman" w:hAnsi="Times New Roman" w:cs="Times New Roman"/>
          <w:sz w:val="28"/>
          <w:szCs w:val="28"/>
        </w:rPr>
        <w:t> год), разработанный Министерством экономического развития Новосибирской области  для прогноза соци</w:t>
      </w:r>
      <w:r w:rsidR="00EA0774" w:rsidRPr="00B85D17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="006951C1" w:rsidRPr="00B85D17">
        <w:rPr>
          <w:rFonts w:ascii="Times New Roman" w:hAnsi="Times New Roman" w:cs="Times New Roman"/>
          <w:sz w:val="28"/>
          <w:szCs w:val="28"/>
        </w:rPr>
        <w:t>;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- коэффициент бюджетной обеспеченности капитального ремонта автомобильных дорог;</w:t>
      </w:r>
    </w:p>
    <w:bookmarkEnd w:id="11"/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lastRenderedPageBreak/>
        <w:t>L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-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4657650"/>
      <w:bookmarkStart w:id="13" w:name="_Hlk4658351"/>
      <w:bookmarkStart w:id="14" w:name="_Hlk4658278"/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L</w:t>
      </w:r>
      <w:bookmarkEnd w:id="12"/>
      <w:proofErr w:type="gramEnd"/>
      <w:r w:rsidRPr="00B85D17">
        <w:rPr>
          <w:rFonts w:ascii="Times New Roman" w:hAnsi="Times New Roman" w:cs="Times New Roman"/>
          <w:sz w:val="28"/>
          <w:szCs w:val="28"/>
        </w:rPr>
        <w:t>капрем</w:t>
      </w:r>
      <w:bookmarkEnd w:id="13"/>
      <w:r w:rsidRPr="00B85D17">
        <w:rPr>
          <w:rFonts w:ascii="Times New Roman" w:hAnsi="Times New Roman" w:cs="Times New Roman"/>
          <w:sz w:val="28"/>
          <w:szCs w:val="28"/>
        </w:rPr>
        <w:t>.=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5" w:name="_Hlk4657759"/>
      <w:r w:rsidRPr="00B85D17">
        <w:rPr>
          <w:rFonts w:ascii="Times New Roman" w:hAnsi="Times New Roman" w:cs="Times New Roman"/>
          <w:sz w:val="28"/>
          <w:szCs w:val="28"/>
        </w:rPr>
        <w:t>L</w:t>
      </w:r>
      <w:bookmarkEnd w:id="15"/>
      <w:r w:rsidR="00B85D1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85D17">
        <w:rPr>
          <w:rFonts w:ascii="Times New Roman" w:hAnsi="Times New Roman" w:cs="Times New Roman"/>
          <w:sz w:val="28"/>
          <w:szCs w:val="28"/>
        </w:rPr>
        <w:t xml:space="preserve"> </w:t>
      </w:r>
      <w:r w:rsidRPr="00B85D17">
        <w:rPr>
          <w:rFonts w:ascii="Times New Roman" w:hAnsi="Times New Roman" w:cs="Times New Roman"/>
          <w:sz w:val="28"/>
          <w:szCs w:val="28"/>
        </w:rPr>
        <w:t>/ Т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-  </w:t>
      </w: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., где</w:t>
      </w:r>
      <w:bookmarkEnd w:id="14"/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L1  -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        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капре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нормативный межремонтный срок по капитальному ремонту для дорог соответствующей категории, применяемый для расчета бюджетных ассигнований на капитальный ремонт автомобильных дорог (лет), согласно</w:t>
      </w:r>
      <w:r w:rsidR="006951C1" w:rsidRPr="00B85D17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47540416/entry/1800" w:history="1">
        <w:r w:rsidR="006951C1" w:rsidRPr="00B85D1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542AE" w:rsidRPr="00B85D17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/год).</w:t>
      </w:r>
    </w:p>
    <w:p w:rsidR="00B85D17" w:rsidRDefault="00B85D17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7.Размер бюджетных ассигнований на ремонт автомобильных дорог на соответствующий финансовый год (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.) рассчитывается по формуле: 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Нрем.=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4658128"/>
      <w:r w:rsidRPr="00B85D17">
        <w:rPr>
          <w:rFonts w:ascii="Times New Roman" w:hAnsi="Times New Roman" w:cs="Times New Roman"/>
          <w:sz w:val="28"/>
          <w:szCs w:val="28"/>
        </w:rPr>
        <w:t>(∑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Hvрем</w:t>
      </w:r>
      <w:bookmarkEnd w:id="16"/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4667520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Ктип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ем</w:t>
      </w:r>
      <w:bookmarkStart w:id="18" w:name="_Hlk4658247"/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Lрем</w:t>
      </w:r>
      <w:bookmarkEnd w:id="18"/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.) </w:t>
      </w:r>
      <w:bookmarkEnd w:id="17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19" w:name="_Hlk4658208"/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КБОрем</w:t>
      </w:r>
      <w:bookmarkEnd w:id="19"/>
      <w:proofErr w:type="spellEnd"/>
      <w:r w:rsidRPr="00B85D17">
        <w:rPr>
          <w:rFonts w:ascii="Times New Roman" w:hAnsi="Times New Roman" w:cs="Times New Roman"/>
          <w:sz w:val="28"/>
          <w:szCs w:val="28"/>
        </w:rPr>
        <w:t>. , где: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Hvрем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становленный НФЗ на ремонт автомобильных дорог;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Ктип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.-  коэффициент, учитывающий дифференциацию стоимости содержания автомобильных дорог по типу покрытия</w:t>
      </w:r>
      <w:r w:rsidR="009542AE" w:rsidRPr="00B85D17">
        <w:rPr>
          <w:rFonts w:ascii="Times New Roman" w:hAnsi="Times New Roman" w:cs="Times New Roman"/>
          <w:sz w:val="28"/>
          <w:szCs w:val="28"/>
        </w:rPr>
        <w:t>;</w:t>
      </w:r>
      <w:r w:rsidRPr="00B85D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42AE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.- </w:t>
      </w:r>
      <w:hyperlink r:id="rId11" w:anchor="/document/149900/entry/0" w:history="1">
        <w:r w:rsidRPr="00B85D17">
          <w:rPr>
            <w:rFonts w:ascii="Times New Roman" w:hAnsi="Times New Roman" w:cs="Times New Roman"/>
            <w:sz w:val="28"/>
            <w:szCs w:val="28"/>
          </w:rPr>
          <w:t>индекс</w:t>
        </w:r>
      </w:hyperlink>
      <w:r w:rsidRPr="00B85D17">
        <w:rPr>
          <w:rFonts w:ascii="Times New Roman" w:hAnsi="Times New Roman" w:cs="Times New Roman"/>
          <w:sz w:val="28"/>
          <w:szCs w:val="28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2014 год), разработанный Министерством экономического развития Новосибирской области  для прогноза социально-экономического развития</w:t>
      </w:r>
      <w:r w:rsidR="009542AE" w:rsidRPr="00B85D17">
        <w:rPr>
          <w:rFonts w:ascii="Times New Roman" w:hAnsi="Times New Roman" w:cs="Times New Roman"/>
          <w:sz w:val="28"/>
          <w:szCs w:val="28"/>
        </w:rPr>
        <w:t>;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КБОрем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- коэффициент бюджетной обеспеченности ремонта автомобильных дорог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- расчетная протяженность автомобильных дорог соответствующей категории, подлежащих ремонту на год планирования (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/год), определяемая по формуле:      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рем.=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    L1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/Т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рем. -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Lкапрем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.),  где      </w:t>
      </w:r>
      <w:proofErr w:type="gramEnd"/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Трем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(лет), согласно </w:t>
      </w:r>
      <w:hyperlink r:id="rId12" w:anchor="/document/47540416/entry/1800" w:history="1">
        <w:r w:rsidRPr="00B85D17">
          <w:rPr>
            <w:rFonts w:ascii="Times New Roman" w:hAnsi="Times New Roman" w:cs="Times New Roman"/>
            <w:sz w:val="28"/>
            <w:szCs w:val="28"/>
          </w:rPr>
          <w:t>прилож</w:t>
        </w:r>
        <w:r w:rsidR="006951C1" w:rsidRPr="00B85D17">
          <w:rPr>
            <w:rFonts w:ascii="Times New Roman" w:hAnsi="Times New Roman" w:cs="Times New Roman"/>
            <w:sz w:val="28"/>
            <w:szCs w:val="28"/>
          </w:rPr>
          <w:t>ению 2</w:t>
        </w:r>
        <w:r w:rsidR="009542AE" w:rsidRPr="00B85D17">
          <w:rPr>
            <w:rFonts w:ascii="Times New Roman" w:hAnsi="Times New Roman" w:cs="Times New Roman"/>
            <w:sz w:val="28"/>
            <w:szCs w:val="28"/>
          </w:rPr>
          <w:t xml:space="preserve"> к Правилам</w:t>
        </w:r>
        <w:r w:rsidRPr="00B85D17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bookmarkEnd w:id="2"/>
    <w:bookmarkEnd w:id="4"/>
    <w:p w:rsidR="002B75CC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общего пользования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области, принимается на основании данных </w:t>
      </w:r>
      <w:r w:rsidRPr="00B85D17">
        <w:rPr>
          <w:rFonts w:ascii="Times New Roman" w:hAnsi="Times New Roman" w:cs="Times New Roman"/>
          <w:sz w:val="28"/>
          <w:szCs w:val="28"/>
        </w:rPr>
        <w:lastRenderedPageBreak/>
        <w:t>размещаемые на официальном сайте территориального органа Федеральной службы государственной статистики по Новосибирской области в сети «Интернет» по форме федерального статистического наблюдения № 3-Д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по состоянию на 1 января текущего финансового года, но не выше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планируемой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к выполнению работ по их содержанию (км).</w:t>
      </w:r>
    </w:p>
    <w:p w:rsidR="00076DB8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D17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/год).</w:t>
      </w:r>
    </w:p>
    <w:p w:rsidR="00076DB8" w:rsidRPr="00B85D17" w:rsidRDefault="00076DB8" w:rsidP="00076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5D1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>капрем</w:t>
      </w:r>
      <w:proofErr w:type="spellEnd"/>
      <w:r w:rsidRPr="00B85D17">
        <w:rPr>
          <w:rFonts w:ascii="Times New Roman" w:hAnsi="Times New Roman" w:cs="Times New Roman"/>
          <w:sz w:val="28"/>
          <w:szCs w:val="28"/>
        </w:rPr>
        <w:t>. - расчетная протяженность автомобильных дорог соответствующей категории, подлежащих капитальному ремонту на год планирования</w:t>
      </w:r>
      <w:r w:rsidR="00EF4A45">
        <w:rPr>
          <w:rFonts w:ascii="Times New Roman" w:hAnsi="Times New Roman" w:cs="Times New Roman"/>
          <w:sz w:val="28"/>
          <w:szCs w:val="28"/>
        </w:rPr>
        <w:t>.</w:t>
      </w:r>
    </w:p>
    <w:p w:rsidR="00076DB8" w:rsidRPr="00B85D17" w:rsidRDefault="00076DB8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76D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9"/>
      <w:r w:rsidRPr="00B85D17">
        <w:rPr>
          <w:rFonts w:ascii="Times New Roman" w:hAnsi="Times New Roman" w:cs="Times New Roman"/>
          <w:sz w:val="28"/>
          <w:szCs w:val="28"/>
        </w:rPr>
        <w:t>8.Объемы ассигнования из бюджета корректируются на основании оценки технического состояния автомобильных дорог и дорожных сооружений на них с учетом необходимости приведения транспортн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эксплуатационных характеристик автомобильных дорог и дорожных сооружений в соответствие с требованиями технических регламентов на основании сметной стоимости.</w:t>
      </w: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Качество работ по капитальному ремонту, ремонту и содержанию  автомобильных дорог должно обеспечивать соблюдение ГОСТ </w:t>
      </w:r>
      <w:proofErr w:type="gramStart"/>
      <w:r w:rsidRPr="00B85D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50597-2017 </w:t>
      </w:r>
      <w:r w:rsidR="00076DB8">
        <w:rPr>
          <w:rFonts w:ascii="Times New Roman" w:hAnsi="Times New Roman" w:cs="Times New Roman"/>
          <w:sz w:val="28"/>
          <w:szCs w:val="28"/>
        </w:rPr>
        <w:t>«</w:t>
      </w:r>
      <w:r w:rsidRPr="00B85D17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="00FB0641" w:rsidRPr="00B85D17">
        <w:rPr>
          <w:rFonts w:ascii="Times New Roman" w:hAnsi="Times New Roman" w:cs="Times New Roman"/>
          <w:sz w:val="28"/>
          <w:szCs w:val="28"/>
        </w:rPr>
        <w:t xml:space="preserve">стандарт Российской Федерации. </w:t>
      </w:r>
      <w:r w:rsidRPr="00B85D17">
        <w:rPr>
          <w:rFonts w:ascii="Times New Roman" w:hAnsi="Times New Roman" w:cs="Times New Roman"/>
          <w:sz w:val="28"/>
          <w:szCs w:val="28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076DB8">
        <w:rPr>
          <w:rFonts w:ascii="Times New Roman" w:hAnsi="Times New Roman" w:cs="Times New Roman"/>
          <w:sz w:val="28"/>
          <w:szCs w:val="28"/>
        </w:rPr>
        <w:t>»</w:t>
      </w:r>
      <w:r w:rsidRPr="00B85D17">
        <w:rPr>
          <w:rFonts w:ascii="Times New Roman" w:hAnsi="Times New Roman" w:cs="Times New Roman"/>
          <w:sz w:val="28"/>
          <w:szCs w:val="28"/>
        </w:rPr>
        <w:t>, утверждённым приказом Федерального агентства  по техническому регулированию и метрологии от 26.09.2017 №1245-ст.</w:t>
      </w:r>
    </w:p>
    <w:bookmarkEnd w:id="20"/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56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938" w:rsidRDefault="006C1938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Pr="00B85D17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к Правилам расчета размера ассигнований </w:t>
      </w:r>
    </w:p>
    <w:p w:rsidR="009542AE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9542AE" w:rsidRPr="00B85D17" w:rsidRDefault="009542AE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на капитальный ремонт,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ремонт и содержание автомобильных дорог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21" w:name="_Hlk11747092"/>
      <w:r w:rsidR="00FB0641" w:rsidRPr="00B85D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641" w:rsidRPr="00B85D1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E97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0641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  <w:r w:rsidR="006A6E97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FB0641" w:rsidRPr="00B85D1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B75CC" w:rsidRPr="00B85D17" w:rsidRDefault="00EF4A45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="00FB0641" w:rsidRPr="00B85D17">
        <w:rPr>
          <w:rFonts w:ascii="Times New Roman" w:hAnsi="Times New Roman" w:cs="Times New Roman"/>
          <w:sz w:val="28"/>
          <w:szCs w:val="28"/>
        </w:rPr>
        <w:t>.12</w:t>
      </w:r>
      <w:r w:rsidR="002B75CC" w:rsidRPr="00B85D17">
        <w:rPr>
          <w:rFonts w:ascii="Times New Roman" w:hAnsi="Times New Roman" w:cs="Times New Roman"/>
          <w:sz w:val="28"/>
          <w:szCs w:val="28"/>
        </w:rPr>
        <w:t>.2019 №</w:t>
      </w:r>
      <w:bookmarkEnd w:id="21"/>
      <w:r>
        <w:rPr>
          <w:rFonts w:ascii="Times New Roman" w:hAnsi="Times New Roman" w:cs="Times New Roman"/>
          <w:sz w:val="28"/>
          <w:szCs w:val="28"/>
        </w:rPr>
        <w:t>1035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E97" w:rsidRPr="00B85D17" w:rsidRDefault="006A6E97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0244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Коэффициенты, учитывающие дифференциацию стоимости</w:t>
      </w:r>
    </w:p>
    <w:p w:rsidR="002B75CC" w:rsidRPr="00B85D17" w:rsidRDefault="002B75CC" w:rsidP="000244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содержания автомобильных дорог</w:t>
      </w:r>
      <w:r w:rsidR="009542AE" w:rsidRPr="00B85D17">
        <w:rPr>
          <w:rFonts w:ascii="Times New Roman" w:hAnsi="Times New Roman" w:cs="Times New Roman"/>
          <w:sz w:val="28"/>
          <w:szCs w:val="28"/>
        </w:rPr>
        <w:t xml:space="preserve"> по типу покрытия</w:t>
      </w:r>
      <w:r w:rsidRPr="00B85D1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</w:p>
    <w:p w:rsidR="002B75CC" w:rsidRPr="00B85D17" w:rsidRDefault="006A6E97" w:rsidP="000244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2B75CC" w:rsidRPr="00B85D17"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775"/>
        <w:gridCol w:w="1885"/>
        <w:gridCol w:w="1548"/>
        <w:gridCol w:w="1750"/>
        <w:gridCol w:w="1350"/>
      </w:tblGrid>
      <w:tr w:rsidR="00024479" w:rsidRPr="00B85D17" w:rsidTr="006774C7">
        <w:trPr>
          <w:jc w:val="center"/>
        </w:trPr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D17">
              <w:rPr>
                <w:rFonts w:ascii="Times New Roman" w:hAnsi="Times New Roman"/>
                <w:sz w:val="28"/>
                <w:szCs w:val="28"/>
              </w:rPr>
              <w:t>Цементобетон</w:t>
            </w:r>
            <w:proofErr w:type="spellEnd"/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Асфальтобетон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Черный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Щебень и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D17">
              <w:rPr>
                <w:rFonts w:ascii="Times New Roman" w:hAnsi="Times New Roman"/>
                <w:sz w:val="28"/>
                <w:szCs w:val="28"/>
              </w:rPr>
              <w:t>грунтощебень</w:t>
            </w:r>
            <w:proofErr w:type="spellEnd"/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Грунтовое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покрытие</w:t>
            </w:r>
          </w:p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479" w:rsidRPr="00B85D17" w:rsidTr="006774C7">
        <w:trPr>
          <w:jc w:val="center"/>
        </w:trPr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D17">
              <w:rPr>
                <w:rFonts w:ascii="Times New Roman" w:hAnsi="Times New Roman"/>
                <w:sz w:val="28"/>
                <w:szCs w:val="28"/>
              </w:rPr>
              <w:t>К</w:t>
            </w:r>
            <w:r w:rsidRPr="00B85D17">
              <w:rPr>
                <w:rFonts w:ascii="Times New Roman" w:hAnsi="Times New Roman"/>
                <w:sz w:val="28"/>
                <w:szCs w:val="28"/>
                <w:vertAlign w:val="subscript"/>
              </w:rPr>
              <w:t>тип</w:t>
            </w:r>
            <w:proofErr w:type="gramStart"/>
            <w:r w:rsidRPr="00B85D17">
              <w:rPr>
                <w:rFonts w:ascii="Times New Roman" w:hAnsi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B85D17">
              <w:rPr>
                <w:rFonts w:ascii="Times New Roman" w:hAnsi="Times New Roman"/>
                <w:sz w:val="28"/>
                <w:szCs w:val="28"/>
                <w:vertAlign w:val="subscript"/>
              </w:rPr>
              <w:t>окр</w:t>
            </w:r>
            <w:proofErr w:type="spellEnd"/>
            <w:r w:rsidRPr="00B85D17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1,190889207</w:t>
            </w: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0,843651317</w:t>
            </w:r>
          </w:p>
        </w:tc>
        <w:tc>
          <w:tcPr>
            <w:tcW w:w="1595" w:type="dxa"/>
          </w:tcPr>
          <w:p w:rsidR="00024479" w:rsidRPr="00B85D17" w:rsidRDefault="00024479" w:rsidP="0067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0,378724188</w:t>
            </w:r>
          </w:p>
        </w:tc>
        <w:tc>
          <w:tcPr>
            <w:tcW w:w="1596" w:type="dxa"/>
          </w:tcPr>
          <w:p w:rsidR="00024479" w:rsidRPr="00B85D17" w:rsidRDefault="00024479" w:rsidP="006774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D17">
              <w:rPr>
                <w:rFonts w:ascii="Times New Roman" w:hAnsi="Times New Roman"/>
                <w:sz w:val="28"/>
                <w:szCs w:val="28"/>
              </w:rPr>
              <w:t>0,266373</w:t>
            </w:r>
          </w:p>
        </w:tc>
      </w:tr>
    </w:tbl>
    <w:p w:rsidR="002B75CC" w:rsidRPr="00B85D17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Коэффициенты установлены исходя из статистических данных, полученных при расчете НФЗ.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76DB8" w:rsidRPr="00B85D17" w:rsidRDefault="00076DB8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625BE" w:rsidRDefault="00C625BE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75CC" w:rsidRPr="00B85D17" w:rsidRDefault="006951C1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к Правилам расчета размера ассигнований </w:t>
      </w:r>
    </w:p>
    <w:p w:rsidR="009542AE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9542AE" w:rsidRPr="00B85D17" w:rsidRDefault="009542AE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 на капитальный ремонт,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ремонт и содержание автомобильных дорог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FB0641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CC" w:rsidRPr="00B85D17" w:rsidRDefault="002B75CC" w:rsidP="006A6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B0641" w:rsidRPr="00B85D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641" w:rsidRPr="00B85D1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85D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6DB8" w:rsidRDefault="002B75CC" w:rsidP="00FB0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постановлением</w:t>
      </w:r>
      <w:r w:rsidR="00076D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8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41" w:rsidRPr="00B85D17" w:rsidRDefault="00FB0641" w:rsidP="00FB0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FB0641" w:rsidRPr="00B85D17" w:rsidRDefault="00FB0641" w:rsidP="00FB0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5CC" w:rsidRPr="00B85D17" w:rsidRDefault="00EF4A45" w:rsidP="00FB0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="00FB0641" w:rsidRPr="00B85D17">
        <w:rPr>
          <w:rFonts w:ascii="Times New Roman" w:hAnsi="Times New Roman" w:cs="Times New Roman"/>
          <w:sz w:val="28"/>
          <w:szCs w:val="28"/>
        </w:rPr>
        <w:t>.12</w:t>
      </w:r>
      <w:r w:rsidR="002B75CC" w:rsidRPr="00B85D17">
        <w:rPr>
          <w:rFonts w:ascii="Times New Roman" w:hAnsi="Times New Roman" w:cs="Times New Roman"/>
          <w:sz w:val="28"/>
          <w:szCs w:val="28"/>
        </w:rPr>
        <w:t>.2019 №</w:t>
      </w:r>
      <w:r>
        <w:rPr>
          <w:rFonts w:ascii="Times New Roman" w:hAnsi="Times New Roman" w:cs="Times New Roman"/>
          <w:sz w:val="28"/>
          <w:szCs w:val="28"/>
        </w:rPr>
        <w:t xml:space="preserve"> 1035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FB0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>Нормативные межремонтные сроки, применяемые для расчета бюджетных ассигнований на капитальный ремонт, ремонт автомобильных дорог</w:t>
      </w:r>
    </w:p>
    <w:p w:rsidR="002B75CC" w:rsidRPr="00B85D17" w:rsidRDefault="002B75CC" w:rsidP="00FB0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D1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524C2F" w:rsidRPr="00B85D17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B85D17">
        <w:rPr>
          <w:rFonts w:ascii="Times New Roman" w:hAnsi="Times New Roman" w:cs="Times New Roman"/>
          <w:sz w:val="28"/>
          <w:szCs w:val="28"/>
        </w:rPr>
        <w:t xml:space="preserve"> (лет)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3060"/>
        <w:gridCol w:w="1245"/>
        <w:gridCol w:w="1245"/>
        <w:gridCol w:w="1245"/>
        <w:gridCol w:w="1245"/>
        <w:gridCol w:w="1305"/>
      </w:tblGrid>
      <w:tr w:rsidR="002B75CC" w:rsidRPr="00B85D17" w:rsidTr="006774C7">
        <w:trPr>
          <w:tblCellSpacing w:w="15" w:type="dxa"/>
          <w:jc w:val="center"/>
        </w:trPr>
        <w:tc>
          <w:tcPr>
            <w:tcW w:w="795" w:type="dxa"/>
            <w:vMerge w:val="restart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 №</w:t>
            </w:r>
          </w:p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proofErr w:type="spellStart"/>
            <w:proofErr w:type="gramStart"/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  <w:proofErr w:type="gramEnd"/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/</w:t>
            </w:r>
            <w:proofErr w:type="spellStart"/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0" w:type="dxa"/>
            <w:vMerge w:val="restart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Вид работ</w:t>
            </w:r>
          </w:p>
        </w:tc>
        <w:tc>
          <w:tcPr>
            <w:tcW w:w="6240" w:type="dxa"/>
            <w:gridSpan w:val="5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Категория автомобильной дороги</w:t>
            </w:r>
          </w:p>
        </w:tc>
      </w:tr>
      <w:tr w:rsidR="002B75CC" w:rsidRPr="00B85D17" w:rsidTr="006774C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I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II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III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IV</w:t>
            </w:r>
          </w:p>
        </w:tc>
        <w:tc>
          <w:tcPr>
            <w:tcW w:w="1260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V</w:t>
            </w:r>
          </w:p>
        </w:tc>
      </w:tr>
      <w:tr w:rsidR="002B75CC" w:rsidRPr="00B85D17" w:rsidTr="006774C7">
        <w:trPr>
          <w:tblCellSpacing w:w="15" w:type="dxa"/>
          <w:jc w:val="center"/>
        </w:trPr>
        <w:tc>
          <w:tcPr>
            <w:tcW w:w="79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  <w:tc>
          <w:tcPr>
            <w:tcW w:w="3030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Капитальный ремонт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24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24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24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24</w:t>
            </w:r>
          </w:p>
        </w:tc>
        <w:tc>
          <w:tcPr>
            <w:tcW w:w="1260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</w:t>
            </w:r>
          </w:p>
        </w:tc>
      </w:tr>
      <w:tr w:rsidR="002B75CC" w:rsidRPr="00B85D17" w:rsidTr="006774C7">
        <w:trPr>
          <w:tblCellSpacing w:w="15" w:type="dxa"/>
          <w:jc w:val="center"/>
        </w:trPr>
        <w:tc>
          <w:tcPr>
            <w:tcW w:w="79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</w:tc>
        <w:tc>
          <w:tcPr>
            <w:tcW w:w="3030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Ремонт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12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12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12</w:t>
            </w:r>
          </w:p>
        </w:tc>
        <w:tc>
          <w:tcPr>
            <w:tcW w:w="1215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12</w:t>
            </w:r>
          </w:p>
        </w:tc>
        <w:tc>
          <w:tcPr>
            <w:tcW w:w="1260" w:type="dxa"/>
            <w:hideMark/>
          </w:tcPr>
          <w:p w:rsidR="002B75CC" w:rsidRPr="00B85D17" w:rsidRDefault="002B75CC" w:rsidP="002B75CC">
            <w:pPr>
              <w:pStyle w:val="a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B85D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</w:t>
            </w:r>
          </w:p>
        </w:tc>
      </w:tr>
    </w:tbl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85D17">
        <w:rPr>
          <w:rFonts w:ascii="Times New Roman" w:hAnsi="Times New Roman" w:cs="Times New Roman"/>
          <w:bCs/>
          <w:color w:val="26282F"/>
          <w:sz w:val="28"/>
          <w:szCs w:val="28"/>
        </w:rPr>
        <w:t> </w:t>
      </w: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Pr="00B85D17" w:rsidRDefault="002B75CC" w:rsidP="002B75CC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B75CC" w:rsidRDefault="002B75CC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Default="00C625BE" w:rsidP="002B7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Начальник  управления финансов и налоговой политики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25BE">
        <w:rPr>
          <w:rFonts w:ascii="Times New Roman" w:hAnsi="Times New Roman" w:cs="Times New Roman"/>
          <w:sz w:val="24"/>
          <w:szCs w:val="24"/>
        </w:rPr>
        <w:t>______________________С.Н.Анищенко</w:t>
      </w:r>
      <w:proofErr w:type="spellEnd"/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25B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625BE">
        <w:rPr>
          <w:rFonts w:ascii="Times New Roman" w:hAnsi="Times New Roman" w:cs="Times New Roman"/>
          <w:sz w:val="24"/>
          <w:szCs w:val="24"/>
        </w:rPr>
        <w:t>лавы администрации Купинского района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25BE">
        <w:rPr>
          <w:rFonts w:ascii="Times New Roman" w:hAnsi="Times New Roman" w:cs="Times New Roman"/>
          <w:sz w:val="24"/>
          <w:szCs w:val="24"/>
        </w:rPr>
        <w:t>______________________Д.А.Гусев</w:t>
      </w:r>
      <w:proofErr w:type="spellEnd"/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5B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F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Управлении</w:t>
      </w:r>
      <w:r w:rsidRPr="00C6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экономики</w:t>
      </w:r>
      <w:r w:rsidR="00EF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</w:t>
      </w:r>
      <w:proofErr w:type="gramStart"/>
      <w:r w:rsidR="00EF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EF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нализа</w:t>
      </w:r>
      <w:proofErr w:type="spellEnd"/>
      <w:r w:rsidRPr="00C6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труда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Купинского района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25B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О.В.Слепыниной</w:t>
      </w:r>
      <w:proofErr w:type="spellEnd"/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Юридический отдел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C625BE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C625BE">
        <w:rPr>
          <w:rFonts w:ascii="Times New Roman" w:hAnsi="Times New Roman" w:cs="Times New Roman"/>
          <w:sz w:val="24"/>
          <w:szCs w:val="24"/>
        </w:rPr>
        <w:t xml:space="preserve"> документ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___________________ __________________</w:t>
      </w: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 xml:space="preserve">                                         ФИО </w:t>
      </w:r>
      <w:proofErr w:type="gramStart"/>
      <w:r w:rsidRPr="00C625BE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C625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25BE" w:rsidRPr="00C625BE" w:rsidSect="00D1207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52"/>
    <w:rsid w:val="00024479"/>
    <w:rsid w:val="00046E75"/>
    <w:rsid w:val="0005637E"/>
    <w:rsid w:val="00076DB8"/>
    <w:rsid w:val="000A6267"/>
    <w:rsid w:val="000C0498"/>
    <w:rsid w:val="001A5013"/>
    <w:rsid w:val="001B4C52"/>
    <w:rsid w:val="001E7054"/>
    <w:rsid w:val="002B75CC"/>
    <w:rsid w:val="00335D9B"/>
    <w:rsid w:val="00352660"/>
    <w:rsid w:val="003D1ABF"/>
    <w:rsid w:val="003F140B"/>
    <w:rsid w:val="004465AF"/>
    <w:rsid w:val="004B0266"/>
    <w:rsid w:val="004F7BA9"/>
    <w:rsid w:val="00524C2F"/>
    <w:rsid w:val="00563241"/>
    <w:rsid w:val="005C6791"/>
    <w:rsid w:val="005E22C3"/>
    <w:rsid w:val="00607F74"/>
    <w:rsid w:val="006951C1"/>
    <w:rsid w:val="006A5E91"/>
    <w:rsid w:val="006A6E97"/>
    <w:rsid w:val="006C1938"/>
    <w:rsid w:val="00783B14"/>
    <w:rsid w:val="007E199C"/>
    <w:rsid w:val="007E19A6"/>
    <w:rsid w:val="0084186C"/>
    <w:rsid w:val="0090470C"/>
    <w:rsid w:val="00917A1C"/>
    <w:rsid w:val="009542AE"/>
    <w:rsid w:val="00A76157"/>
    <w:rsid w:val="00B85D17"/>
    <w:rsid w:val="00B93567"/>
    <w:rsid w:val="00C625BE"/>
    <w:rsid w:val="00D03F40"/>
    <w:rsid w:val="00DC33B3"/>
    <w:rsid w:val="00DE1D19"/>
    <w:rsid w:val="00EA0774"/>
    <w:rsid w:val="00EF4A45"/>
    <w:rsid w:val="00FB0641"/>
    <w:rsid w:val="00F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526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660"/>
  </w:style>
  <w:style w:type="character" w:styleId="a5">
    <w:name w:val="Hyperlink"/>
    <w:rsid w:val="00FF2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9E5B8983EE7B9EBF1B14B2A0F1A5D22162A7FDE801F56069A9F8EA807ADB42795C67530C0ABD5376A02E2CAC018CB2164FCD05D2103DCD0E1B12DA1K9H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E729E5B8983EE7B9EBF1B15D39634454281E747ADD8213065AC699D9F757ABE167D5C0207384A5D3376156B2899E419A672FF0D2413D02DFACK7H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cp:lastPrinted>2019-12-18T09:25:00Z</cp:lastPrinted>
  <dcterms:created xsi:type="dcterms:W3CDTF">2019-12-02T07:10:00Z</dcterms:created>
  <dcterms:modified xsi:type="dcterms:W3CDTF">2019-12-18T09:40:00Z</dcterms:modified>
</cp:coreProperties>
</file>