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60" w:rsidRDefault="00454060" w:rsidP="00936A3F">
      <w:pPr>
        <w:suppressLineNumbers/>
        <w:spacing w:line="288" w:lineRule="atLeast"/>
        <w:jc w:val="center"/>
        <w:textAlignment w:val="baseline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</w:t>
      </w:r>
      <w:r w:rsidRPr="009E7A1A">
        <w:rPr>
          <w:sz w:val="28"/>
          <w:szCs w:val="28"/>
        </w:rPr>
        <w:br/>
      </w:r>
      <w:r>
        <w:rPr>
          <w:sz w:val="28"/>
          <w:szCs w:val="28"/>
        </w:rPr>
        <w:t>о результатах осуществления внутреннего финансового аудита</w:t>
      </w:r>
    </w:p>
    <w:p w:rsidR="00454060" w:rsidRDefault="00454060" w:rsidP="00936A3F">
      <w:pPr>
        <w:suppressLineNumbers/>
        <w:spacing w:line="288" w:lineRule="atLeast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за 20</w:t>
      </w:r>
      <w:r w:rsidR="000F35EB">
        <w:rPr>
          <w:sz w:val="28"/>
          <w:szCs w:val="28"/>
        </w:rPr>
        <w:t>19</w:t>
      </w:r>
      <w:r>
        <w:rPr>
          <w:sz w:val="28"/>
          <w:szCs w:val="28"/>
        </w:rPr>
        <w:t xml:space="preserve"> год</w:t>
      </w:r>
    </w:p>
    <w:p w:rsidR="00874D06" w:rsidRPr="009E7A1A" w:rsidRDefault="00874D06" w:rsidP="00936A3F">
      <w:pPr>
        <w:suppressLineNumbers/>
        <w:spacing w:line="288" w:lineRule="atLeast"/>
        <w:jc w:val="center"/>
        <w:textAlignment w:val="baseline"/>
        <w:outlineLvl w:val="1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357"/>
        <w:gridCol w:w="1586"/>
        <w:gridCol w:w="1280"/>
      </w:tblGrid>
      <w:tr w:rsidR="00454060" w:rsidRPr="00FB0897" w:rsidTr="000F35EB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bookmarkStart w:id="1" w:name="l376"/>
            <w:bookmarkEnd w:id="1"/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right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КОДЫ</w:t>
            </w:r>
          </w:p>
        </w:tc>
      </w:tr>
      <w:tr w:rsidR="00454060" w:rsidRPr="00FB0897" w:rsidTr="000F35EB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right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Дата</w:t>
            </w:r>
          </w:p>
        </w:tc>
        <w:tc>
          <w:tcPr>
            <w:tcW w:w="65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</w:tr>
      <w:tr w:rsidR="00454060" w:rsidRPr="00FB0897" w:rsidTr="000F35EB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Default="000F35EB" w:rsidP="00936A3F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Купинского</w:t>
            </w:r>
            <w:proofErr w:type="spellEnd"/>
          </w:p>
          <w:p w:rsidR="000F35EB" w:rsidRPr="00FB0897" w:rsidRDefault="000F35EB" w:rsidP="00936A3F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right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Глава по БК</w:t>
            </w:r>
          </w:p>
        </w:tc>
        <w:tc>
          <w:tcPr>
            <w:tcW w:w="65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454060" w:rsidRPr="00FB0897" w:rsidTr="000F35EB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1757" w:type="pct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Купинского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right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по ОКТМО</w:t>
            </w:r>
          </w:p>
        </w:tc>
        <w:tc>
          <w:tcPr>
            <w:tcW w:w="65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50632000</w:t>
            </w:r>
          </w:p>
        </w:tc>
      </w:tr>
      <w:tr w:rsidR="00454060" w:rsidRPr="00FB0897" w:rsidTr="000F35EB"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1757" w:type="pct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Default="00454060" w:rsidP="00936A3F">
            <w:pPr>
              <w:suppressLineNumbers/>
              <w:rPr>
                <w:sz w:val="24"/>
                <w:szCs w:val="24"/>
              </w:rPr>
            </w:pPr>
          </w:p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right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</w:tr>
    </w:tbl>
    <w:p w:rsidR="00454060" w:rsidRPr="009E7A1A" w:rsidRDefault="00454060" w:rsidP="00936A3F">
      <w:pPr>
        <w:pStyle w:val="a6"/>
        <w:numPr>
          <w:ilvl w:val="0"/>
          <w:numId w:val="1"/>
        </w:numPr>
        <w:suppressLineNumbers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2" w:name="h511"/>
      <w:bookmarkEnd w:id="2"/>
      <w:r w:rsidRPr="009E7A1A">
        <w:rPr>
          <w:rFonts w:ascii="Times New Roman" w:eastAsia="Times New Roman" w:hAnsi="Times New Roman"/>
          <w:sz w:val="27"/>
          <w:szCs w:val="27"/>
          <w:lang w:eastAsia="ru-RU"/>
        </w:rPr>
        <w:t>Общие сведения о результатах внутреннего финансового аудита</w:t>
      </w:r>
      <w:bookmarkStart w:id="3" w:name="l377"/>
      <w:bookmarkEnd w:id="3"/>
    </w:p>
    <w:p w:rsidR="00454060" w:rsidRPr="009E7A1A" w:rsidRDefault="00454060" w:rsidP="00936A3F">
      <w:pPr>
        <w:pStyle w:val="a6"/>
        <w:suppressLineNumbers/>
        <w:spacing w:after="0" w:line="336" w:lineRule="atLeast"/>
        <w:textAlignment w:val="baseline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528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5"/>
        <w:gridCol w:w="899"/>
        <w:gridCol w:w="1595"/>
      </w:tblGrid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bookmarkStart w:id="4" w:name="l378"/>
            <w:bookmarkEnd w:id="4"/>
            <w:r w:rsidRPr="00FB089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Код строки</w:t>
            </w:r>
          </w:p>
        </w:tc>
        <w:tc>
          <w:tcPr>
            <w:tcW w:w="78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Значения показателя</w:t>
            </w: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2</w:t>
            </w:r>
          </w:p>
        </w:tc>
        <w:tc>
          <w:tcPr>
            <w:tcW w:w="78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3</w:t>
            </w: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Количество проведенных аудиторских проверок, единиц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020</w:t>
            </w:r>
          </w:p>
        </w:tc>
        <w:tc>
          <w:tcPr>
            <w:tcW w:w="78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в том числе: 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454060" w:rsidRPr="00FB0897" w:rsidTr="004D47E7">
        <w:tc>
          <w:tcPr>
            <w:tcW w:w="3768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444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021</w:t>
            </w:r>
          </w:p>
        </w:tc>
        <w:tc>
          <w:tcPr>
            <w:tcW w:w="788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874D06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022</w:t>
            </w:r>
          </w:p>
        </w:tc>
        <w:tc>
          <w:tcPr>
            <w:tcW w:w="78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023</w:t>
            </w:r>
          </w:p>
        </w:tc>
        <w:tc>
          <w:tcPr>
            <w:tcW w:w="78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874D06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bookmarkStart w:id="5" w:name="l379"/>
            <w:bookmarkEnd w:id="5"/>
            <w:r w:rsidRPr="00FB0897">
              <w:rPr>
                <w:sz w:val="24"/>
                <w:szCs w:val="24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030</w:t>
            </w:r>
          </w:p>
        </w:tc>
        <w:tc>
          <w:tcPr>
            <w:tcW w:w="78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из них: 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4060" w:rsidRPr="00FB0897" w:rsidTr="004D47E7">
        <w:tc>
          <w:tcPr>
            <w:tcW w:w="3768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количество проведенных плановых аудиторских проверок</w:t>
            </w:r>
          </w:p>
        </w:tc>
        <w:tc>
          <w:tcPr>
            <w:tcW w:w="444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031</w:t>
            </w:r>
          </w:p>
        </w:tc>
        <w:tc>
          <w:tcPr>
            <w:tcW w:w="788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040</w:t>
            </w:r>
          </w:p>
        </w:tc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050</w:t>
            </w:r>
          </w:p>
        </w:tc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из них: 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4060" w:rsidRPr="00FB0897" w:rsidTr="004D47E7">
        <w:tc>
          <w:tcPr>
            <w:tcW w:w="3768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444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051</w:t>
            </w: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Количество направленных предложений о повышении экономности и результативности </w:t>
            </w:r>
            <w:bookmarkStart w:id="6" w:name="l512"/>
            <w:bookmarkEnd w:id="6"/>
            <w:r w:rsidRPr="00FB0897">
              <w:rPr>
                <w:sz w:val="24"/>
                <w:szCs w:val="24"/>
              </w:rPr>
              <w:t>использования бюджетных средств, единиц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060</w:t>
            </w:r>
          </w:p>
        </w:tc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4060" w:rsidRPr="00FB0897" w:rsidTr="004D47E7">
        <w:tc>
          <w:tcPr>
            <w:tcW w:w="3768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из них: </w:t>
            </w:r>
          </w:p>
        </w:tc>
        <w:tc>
          <w:tcPr>
            <w:tcW w:w="444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4060" w:rsidRPr="00FB0897" w:rsidTr="004D47E7">
        <w:tc>
          <w:tcPr>
            <w:tcW w:w="3768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  <w:bookmarkStart w:id="7" w:name="l380"/>
            <w:bookmarkEnd w:id="7"/>
            <w:r w:rsidRPr="00FB0897">
              <w:rPr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444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061</w:t>
            </w:r>
          </w:p>
        </w:tc>
        <w:tc>
          <w:tcPr>
            <w:tcW w:w="0" w:type="auto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</w:p>
        </w:tc>
      </w:tr>
    </w:tbl>
    <w:p w:rsidR="00454060" w:rsidRDefault="00454060" w:rsidP="00936A3F">
      <w:pPr>
        <w:suppressLineNumbers/>
        <w:spacing w:line="336" w:lineRule="atLeast"/>
        <w:jc w:val="center"/>
        <w:textAlignment w:val="baseline"/>
        <w:outlineLvl w:val="2"/>
        <w:rPr>
          <w:sz w:val="27"/>
          <w:szCs w:val="27"/>
        </w:rPr>
      </w:pPr>
      <w:bookmarkStart w:id="8" w:name="h513"/>
      <w:bookmarkEnd w:id="8"/>
    </w:p>
    <w:p w:rsidR="00874D06" w:rsidRDefault="00874D06" w:rsidP="00936A3F">
      <w:pPr>
        <w:suppressLineNumbers/>
        <w:spacing w:line="336" w:lineRule="atLeast"/>
        <w:jc w:val="center"/>
        <w:textAlignment w:val="baseline"/>
        <w:outlineLvl w:val="2"/>
        <w:rPr>
          <w:sz w:val="27"/>
          <w:szCs w:val="27"/>
        </w:rPr>
      </w:pPr>
    </w:p>
    <w:p w:rsidR="00874D06" w:rsidRDefault="00874D06" w:rsidP="00936A3F">
      <w:pPr>
        <w:suppressLineNumbers/>
        <w:spacing w:line="336" w:lineRule="atLeast"/>
        <w:jc w:val="center"/>
        <w:textAlignment w:val="baseline"/>
        <w:outlineLvl w:val="2"/>
        <w:rPr>
          <w:sz w:val="27"/>
          <w:szCs w:val="27"/>
        </w:rPr>
      </w:pPr>
    </w:p>
    <w:p w:rsidR="00874D06" w:rsidRDefault="00874D06" w:rsidP="00936A3F">
      <w:pPr>
        <w:suppressLineNumbers/>
        <w:spacing w:line="336" w:lineRule="atLeast"/>
        <w:jc w:val="center"/>
        <w:textAlignment w:val="baseline"/>
        <w:outlineLvl w:val="2"/>
        <w:rPr>
          <w:sz w:val="27"/>
          <w:szCs w:val="27"/>
        </w:rPr>
      </w:pPr>
    </w:p>
    <w:p w:rsidR="00874D06" w:rsidRDefault="00874D06" w:rsidP="00936A3F">
      <w:pPr>
        <w:suppressLineNumbers/>
        <w:spacing w:line="336" w:lineRule="atLeast"/>
        <w:jc w:val="center"/>
        <w:textAlignment w:val="baseline"/>
        <w:outlineLvl w:val="2"/>
        <w:rPr>
          <w:sz w:val="27"/>
          <w:szCs w:val="27"/>
        </w:rPr>
      </w:pPr>
    </w:p>
    <w:p w:rsidR="00454060" w:rsidRDefault="00454060" w:rsidP="00936A3F">
      <w:pPr>
        <w:suppressLineNumbers/>
        <w:spacing w:line="336" w:lineRule="atLeast"/>
        <w:jc w:val="center"/>
        <w:textAlignment w:val="baseline"/>
        <w:outlineLvl w:val="2"/>
        <w:rPr>
          <w:sz w:val="27"/>
          <w:szCs w:val="27"/>
        </w:rPr>
      </w:pPr>
      <w:r w:rsidRPr="00FB0897">
        <w:rPr>
          <w:sz w:val="27"/>
          <w:szCs w:val="27"/>
        </w:rPr>
        <w:lastRenderedPageBreak/>
        <w:t>2. Сведения о выявленных нарушениях и недостатках, тыс. руб.</w:t>
      </w:r>
      <w:bookmarkStart w:id="9" w:name="l381"/>
      <w:bookmarkEnd w:id="9"/>
    </w:p>
    <w:p w:rsidR="00454060" w:rsidRPr="00FB0897" w:rsidRDefault="00454060" w:rsidP="00936A3F">
      <w:pPr>
        <w:suppressLineNumbers/>
        <w:spacing w:line="336" w:lineRule="atLeast"/>
        <w:jc w:val="center"/>
        <w:textAlignment w:val="baseline"/>
        <w:outlineLvl w:val="2"/>
        <w:rPr>
          <w:sz w:val="27"/>
          <w:szCs w:val="27"/>
        </w:rPr>
      </w:pPr>
    </w:p>
    <w:tbl>
      <w:tblPr>
        <w:tblW w:w="5287" w:type="pct"/>
        <w:tblInd w:w="-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294"/>
        <w:gridCol w:w="2289"/>
        <w:gridCol w:w="101"/>
        <w:gridCol w:w="293"/>
        <w:gridCol w:w="506"/>
        <w:gridCol w:w="698"/>
        <w:gridCol w:w="706"/>
        <w:gridCol w:w="1362"/>
        <w:gridCol w:w="1362"/>
        <w:gridCol w:w="975"/>
      </w:tblGrid>
      <w:tr w:rsidR="00454060" w:rsidRPr="00FB0897" w:rsidTr="004D47E7">
        <w:tc>
          <w:tcPr>
            <w:tcW w:w="2033" w:type="pct"/>
            <w:gridSpan w:val="3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bookmarkStart w:id="10" w:name="l382"/>
            <w:bookmarkEnd w:id="10"/>
            <w:r w:rsidRPr="00FB0897">
              <w:rPr>
                <w:sz w:val="24"/>
                <w:szCs w:val="24"/>
              </w:rPr>
              <w:t>Наименование показателя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445" w:type="pct"/>
            <w:gridSpan w:val="3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Код строки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Количество (единиц)</w:t>
            </w:r>
          </w:p>
        </w:tc>
        <w:tc>
          <w:tcPr>
            <w:tcW w:w="673" w:type="pct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Объем (тыс. руб.)</w:t>
            </w:r>
          </w:p>
        </w:tc>
        <w:tc>
          <w:tcPr>
            <w:tcW w:w="1155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Динамика нарушений и недостатков</w:t>
            </w:r>
          </w:p>
          <w:p w:rsidR="00454060" w:rsidRPr="00964978" w:rsidRDefault="00454060" w:rsidP="00936A3F">
            <w:pPr>
              <w:suppressLineNumbers/>
              <w:jc w:val="center"/>
            </w:pPr>
            <w:r w:rsidRPr="00964978">
              <w:t>(при условии проведения проверок в предыдущем финансовом году)</w:t>
            </w:r>
          </w:p>
        </w:tc>
      </w:tr>
      <w:tr w:rsidR="00454060" w:rsidRPr="00FB0897" w:rsidTr="004D47E7">
        <w:tc>
          <w:tcPr>
            <w:tcW w:w="2033" w:type="pct"/>
            <w:gridSpan w:val="3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445" w:type="pct"/>
            <w:gridSpan w:val="3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454060" w:rsidRPr="00FB0897" w:rsidRDefault="00454060" w:rsidP="00936A3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(тыс. руб.)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(%)</w:t>
            </w:r>
          </w:p>
        </w:tc>
      </w:tr>
      <w:tr w:rsidR="00454060" w:rsidRPr="00FB0897" w:rsidTr="004D47E7">
        <w:tc>
          <w:tcPr>
            <w:tcW w:w="2033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1</w:t>
            </w:r>
          </w:p>
        </w:tc>
        <w:tc>
          <w:tcPr>
            <w:tcW w:w="445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3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5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6</w:t>
            </w:r>
          </w:p>
        </w:tc>
      </w:tr>
      <w:tr w:rsidR="00454060" w:rsidRPr="00FB0897" w:rsidTr="004D47E7">
        <w:tc>
          <w:tcPr>
            <w:tcW w:w="2033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rPr>
                <w:sz w:val="24"/>
                <w:szCs w:val="24"/>
              </w:rPr>
            </w:pPr>
            <w:r w:rsidRPr="009E7A1A">
              <w:rPr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445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jc w:val="center"/>
            </w:pPr>
            <w:r w:rsidRPr="009E7A1A">
              <w:t>010</w:t>
            </w:r>
          </w:p>
        </w:tc>
        <w:tc>
          <w:tcPr>
            <w:tcW w:w="69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454060" w:rsidRPr="00FB0897" w:rsidTr="004D47E7">
        <w:tc>
          <w:tcPr>
            <w:tcW w:w="2033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rPr>
                <w:sz w:val="24"/>
                <w:szCs w:val="24"/>
              </w:rPr>
            </w:pPr>
            <w:r w:rsidRPr="009E7A1A">
              <w:rPr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445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jc w:val="center"/>
            </w:pPr>
            <w:r w:rsidRPr="009E7A1A">
              <w:t>020</w:t>
            </w:r>
          </w:p>
        </w:tc>
        <w:tc>
          <w:tcPr>
            <w:tcW w:w="69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454060" w:rsidRPr="00FB0897" w:rsidTr="004D47E7">
        <w:tc>
          <w:tcPr>
            <w:tcW w:w="2033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rPr>
                <w:sz w:val="24"/>
                <w:szCs w:val="24"/>
              </w:rPr>
            </w:pPr>
            <w:r w:rsidRPr="009E7A1A">
              <w:rPr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445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jc w:val="center"/>
            </w:pPr>
            <w:r w:rsidRPr="009E7A1A">
              <w:t>030</w:t>
            </w:r>
          </w:p>
        </w:tc>
        <w:tc>
          <w:tcPr>
            <w:tcW w:w="69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454060" w:rsidRPr="00FB0897" w:rsidTr="004D47E7">
        <w:tc>
          <w:tcPr>
            <w:tcW w:w="2033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rPr>
                <w:sz w:val="24"/>
                <w:szCs w:val="24"/>
              </w:rPr>
            </w:pPr>
            <w:r w:rsidRPr="009E7A1A">
              <w:rPr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445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jc w:val="center"/>
            </w:pPr>
            <w:r w:rsidRPr="009E7A1A">
              <w:t>040</w:t>
            </w:r>
          </w:p>
        </w:tc>
        <w:tc>
          <w:tcPr>
            <w:tcW w:w="69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454060" w:rsidRPr="00FB0897" w:rsidTr="004D47E7">
        <w:tc>
          <w:tcPr>
            <w:tcW w:w="2033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rPr>
                <w:sz w:val="24"/>
                <w:szCs w:val="24"/>
              </w:rPr>
            </w:pPr>
            <w:r w:rsidRPr="009E7A1A">
              <w:rPr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445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jc w:val="center"/>
            </w:pPr>
            <w:r w:rsidRPr="009E7A1A">
              <w:t>050</w:t>
            </w:r>
          </w:p>
        </w:tc>
        <w:tc>
          <w:tcPr>
            <w:tcW w:w="69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454060" w:rsidRPr="00FB0897" w:rsidTr="004D47E7">
        <w:tc>
          <w:tcPr>
            <w:tcW w:w="2033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rPr>
                <w:sz w:val="24"/>
                <w:szCs w:val="24"/>
              </w:rPr>
            </w:pPr>
            <w:bookmarkStart w:id="11" w:name="l383"/>
            <w:bookmarkEnd w:id="11"/>
            <w:r w:rsidRPr="009E7A1A">
              <w:rPr>
                <w:sz w:val="24"/>
                <w:szCs w:val="24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445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jc w:val="center"/>
            </w:pPr>
            <w:r w:rsidRPr="009E7A1A">
              <w:t>060</w:t>
            </w:r>
          </w:p>
        </w:tc>
        <w:tc>
          <w:tcPr>
            <w:tcW w:w="69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454060" w:rsidRPr="00FB0897" w:rsidTr="004D47E7">
        <w:tc>
          <w:tcPr>
            <w:tcW w:w="2033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rPr>
                <w:sz w:val="24"/>
                <w:szCs w:val="24"/>
              </w:rPr>
            </w:pPr>
            <w:r w:rsidRPr="009E7A1A">
              <w:rPr>
                <w:sz w:val="24"/>
                <w:szCs w:val="24"/>
              </w:rPr>
              <w:t>Нарушения порядка администрирования доходов бюджета</w:t>
            </w:r>
          </w:p>
        </w:tc>
        <w:tc>
          <w:tcPr>
            <w:tcW w:w="445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jc w:val="center"/>
            </w:pPr>
            <w:r w:rsidRPr="009E7A1A">
              <w:t>070</w:t>
            </w:r>
          </w:p>
        </w:tc>
        <w:tc>
          <w:tcPr>
            <w:tcW w:w="69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454060" w:rsidRPr="00FB0897" w:rsidTr="004D47E7">
        <w:tc>
          <w:tcPr>
            <w:tcW w:w="2033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rPr>
                <w:sz w:val="24"/>
                <w:szCs w:val="24"/>
              </w:rPr>
            </w:pPr>
            <w:r w:rsidRPr="009E7A1A">
              <w:rPr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445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jc w:val="center"/>
            </w:pPr>
            <w:r w:rsidRPr="009E7A1A">
              <w:t>080</w:t>
            </w:r>
          </w:p>
        </w:tc>
        <w:tc>
          <w:tcPr>
            <w:tcW w:w="69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454060" w:rsidRPr="00FB0897" w:rsidTr="004D47E7">
        <w:tc>
          <w:tcPr>
            <w:tcW w:w="2033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rPr>
                <w:sz w:val="24"/>
                <w:szCs w:val="24"/>
              </w:rPr>
            </w:pPr>
            <w:r w:rsidRPr="009E7A1A">
              <w:rPr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445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jc w:val="center"/>
            </w:pPr>
            <w:r w:rsidRPr="009E7A1A">
              <w:t>090</w:t>
            </w:r>
          </w:p>
        </w:tc>
        <w:tc>
          <w:tcPr>
            <w:tcW w:w="69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0F35EB" w:rsidP="00936A3F">
            <w:pPr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X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X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ind w:left="-93" w:right="364" w:firstLine="9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X</w:t>
            </w:r>
          </w:p>
        </w:tc>
      </w:tr>
      <w:tr w:rsidR="00454060" w:rsidRPr="00FB0897" w:rsidTr="004D47E7">
        <w:tc>
          <w:tcPr>
            <w:tcW w:w="2033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rPr>
                <w:sz w:val="24"/>
                <w:szCs w:val="24"/>
              </w:rPr>
            </w:pPr>
            <w:r w:rsidRPr="009E7A1A">
              <w:rPr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445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9E7A1A" w:rsidRDefault="00454060" w:rsidP="00936A3F">
            <w:pPr>
              <w:suppressLineNumbers/>
              <w:jc w:val="center"/>
            </w:pPr>
            <w:r w:rsidRPr="009E7A1A">
              <w:t>100</w:t>
            </w:r>
          </w:p>
        </w:tc>
        <w:tc>
          <w:tcPr>
            <w:tcW w:w="694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73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0F35EB" w:rsidRDefault="000F35EB" w:rsidP="00936A3F">
            <w:pPr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454060" w:rsidRPr="00FB0897" w:rsidTr="004D47E7">
        <w:trPr>
          <w:gridAfter w:val="4"/>
          <w:wAfter w:w="2177" w:type="pct"/>
        </w:trPr>
        <w:tc>
          <w:tcPr>
            <w:tcW w:w="757" w:type="pct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  <w:bookmarkStart w:id="12" w:name="l384"/>
            <w:bookmarkEnd w:id="12"/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454060" w:rsidRPr="00FB0897" w:rsidTr="004D47E7">
        <w:trPr>
          <w:gridAfter w:val="4"/>
          <w:wAfter w:w="2177" w:type="pct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454060" w:rsidRPr="00FB0897" w:rsidTr="004D47E7">
        <w:trPr>
          <w:gridAfter w:val="4"/>
          <w:wAfter w:w="2177" w:type="pct"/>
        </w:trPr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CC1AB8" w:rsidRDefault="00454060" w:rsidP="00936A3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454060" w:rsidRPr="00FB0897" w:rsidRDefault="00454060" w:rsidP="00936A3F">
            <w:pPr>
              <w:suppressLineNumbers/>
              <w:jc w:val="center"/>
              <w:rPr>
                <w:sz w:val="24"/>
                <w:szCs w:val="24"/>
              </w:rPr>
            </w:pPr>
          </w:p>
        </w:tc>
      </w:tr>
    </w:tbl>
    <w:p w:rsidR="002515B2" w:rsidRDefault="002515B2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3" w:name="P1151"/>
      <w:bookmarkEnd w:id="13"/>
    </w:p>
    <w:p w:rsidR="002515B2" w:rsidRDefault="002515B2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15B2" w:rsidRDefault="002515B2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эксперт по внутреннему</w:t>
      </w:r>
    </w:p>
    <w:p w:rsidR="002515B2" w:rsidRDefault="002515B2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финансовому контролю</w:t>
      </w:r>
    </w:p>
    <w:p w:rsidR="002515B2" w:rsidRDefault="002515B2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515B2" w:rsidRPr="002515B2" w:rsidRDefault="002515B2" w:rsidP="00936A3F">
      <w:pPr>
        <w:pStyle w:val="ConsPlusNonformat"/>
        <w:suppressLineNumbers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Подберезная</w:t>
      </w:r>
      <w:proofErr w:type="spellEnd"/>
    </w:p>
    <w:p w:rsidR="00B70262" w:rsidRDefault="00B70262" w:rsidP="00936A3F">
      <w:pPr>
        <w:suppressLineNumbers/>
      </w:pPr>
    </w:p>
    <w:p w:rsidR="00CC4520" w:rsidRDefault="00CC4520" w:rsidP="00936A3F">
      <w:pPr>
        <w:suppressLineNumbers/>
      </w:pPr>
    </w:p>
    <w:p w:rsidR="00CC4520" w:rsidRDefault="00CC4520" w:rsidP="00936A3F">
      <w:pPr>
        <w:suppressLineNumbers/>
      </w:pPr>
    </w:p>
    <w:p w:rsidR="00CC4520" w:rsidRDefault="00CC4520" w:rsidP="00936A3F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C4520" w:rsidRDefault="00CC4520" w:rsidP="00936A3F">
      <w:pPr>
        <w:suppressLineNumbers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к отчету о результатах осуществления</w:t>
      </w:r>
    </w:p>
    <w:p w:rsidR="00CC4520" w:rsidRDefault="00CC4520" w:rsidP="00936A3F">
      <w:pPr>
        <w:suppressLineNumbers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внутреннего финансового </w:t>
      </w:r>
      <w:r w:rsidR="00C42C36">
        <w:rPr>
          <w:sz w:val="28"/>
          <w:szCs w:val="28"/>
        </w:rPr>
        <w:t>аудита</w:t>
      </w:r>
    </w:p>
    <w:p w:rsidR="00CC4520" w:rsidRDefault="00CC4520" w:rsidP="00936A3F">
      <w:pPr>
        <w:suppressLineNumbers/>
        <w:jc w:val="center"/>
        <w:textAlignment w:val="baseline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за 2019 год</w:t>
      </w:r>
    </w:p>
    <w:p w:rsidR="00CC4520" w:rsidRDefault="00CC4520" w:rsidP="00936A3F">
      <w:pPr>
        <w:suppressLineNumbers/>
        <w:ind w:firstLine="709"/>
        <w:jc w:val="both"/>
        <w:rPr>
          <w:sz w:val="28"/>
          <w:szCs w:val="28"/>
        </w:rPr>
      </w:pPr>
    </w:p>
    <w:p w:rsidR="00B930BC" w:rsidRDefault="00B930BC" w:rsidP="00936A3F">
      <w:pPr>
        <w:pStyle w:val="ConsPlusNormal"/>
        <w:suppressLineNumber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внутреннего финансового аудита – ведущий эксперт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подчиняется непосредственно Первому 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Осуществление внутреннего финансового аудита</w:t>
      </w:r>
      <w:r w:rsidR="00CA77FE">
        <w:rPr>
          <w:rFonts w:ascii="Times New Roman" w:hAnsi="Times New Roman" w:cs="Times New Roman"/>
          <w:sz w:val="28"/>
          <w:szCs w:val="28"/>
        </w:rPr>
        <w:t xml:space="preserve"> регулир</w:t>
      </w:r>
      <w:r w:rsidR="00E546FC">
        <w:rPr>
          <w:rFonts w:ascii="Times New Roman" w:hAnsi="Times New Roman" w:cs="Times New Roman"/>
          <w:sz w:val="28"/>
          <w:szCs w:val="28"/>
        </w:rPr>
        <w:t>овалось</w:t>
      </w:r>
      <w:r w:rsidR="00CA77FE">
        <w:rPr>
          <w:rFonts w:ascii="Times New Roman" w:hAnsi="Times New Roman" w:cs="Times New Roman"/>
          <w:sz w:val="28"/>
          <w:szCs w:val="28"/>
        </w:rPr>
        <w:t xml:space="preserve"> Порядком осуществления внутреннего финансового контроля и внутреннего финансового аудита, утвержденным постановлением </w:t>
      </w:r>
      <w:proofErr w:type="gramStart"/>
      <w:r w:rsidR="00CA77F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CA77F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proofErr w:type="gramEnd"/>
      <w:r w:rsidR="00CA77FE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 от  23.04.2019 № 338. Объектами внутреннего финансового аудита являются структурные подразделения </w:t>
      </w:r>
      <w:r w:rsidR="00561325">
        <w:rPr>
          <w:rFonts w:ascii="Times New Roman" w:hAnsi="Times New Roman" w:cs="Times New Roman"/>
          <w:sz w:val="28"/>
          <w:szCs w:val="28"/>
        </w:rPr>
        <w:t>главного администратора средств районного бюджета.</w:t>
      </w:r>
    </w:p>
    <w:p w:rsidR="00CC4520" w:rsidRDefault="00CC4520" w:rsidP="00936A3F">
      <w:pPr>
        <w:suppressLineNumbers/>
        <w:ind w:firstLine="720"/>
        <w:jc w:val="both"/>
      </w:pPr>
      <w:r>
        <w:rPr>
          <w:sz w:val="28"/>
          <w:szCs w:val="28"/>
        </w:rPr>
        <w:t>Фактическая численность должностных лиц, осуществляющих внутренний муниципальный финансовый контроль в сфере бюджетных правоотношений в целях обеспечения внутреннего муниципального финансового контроля, внутреннего финансового контроля и внутреннего финансового аудита – 1 единица.</w:t>
      </w:r>
    </w:p>
    <w:p w:rsidR="004B6BE0" w:rsidRDefault="004B6BE0" w:rsidP="00936A3F">
      <w:pPr>
        <w:suppressLineNumbers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Деятельность</w:t>
      </w:r>
      <w:r w:rsidRPr="000A317E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0A317E">
        <w:rPr>
          <w:sz w:val="28"/>
          <w:szCs w:val="28"/>
        </w:rPr>
        <w:t>внутренне</w:t>
      </w:r>
      <w:r>
        <w:rPr>
          <w:sz w:val="28"/>
          <w:szCs w:val="28"/>
        </w:rPr>
        <w:t>му</w:t>
      </w:r>
      <w:r w:rsidRPr="000A317E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0A317E">
        <w:rPr>
          <w:sz w:val="28"/>
          <w:szCs w:val="28"/>
        </w:rPr>
        <w:t xml:space="preserve"> </w:t>
      </w:r>
      <w:r>
        <w:rPr>
          <w:sz w:val="28"/>
          <w:szCs w:val="28"/>
        </w:rPr>
        <w:t>аудиту</w:t>
      </w:r>
      <w:r w:rsidRPr="000A3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0A317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A317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0A317E">
        <w:rPr>
          <w:sz w:val="28"/>
          <w:szCs w:val="28"/>
        </w:rPr>
        <w:t xml:space="preserve"> с план</w:t>
      </w:r>
      <w:r>
        <w:rPr>
          <w:sz w:val="28"/>
          <w:szCs w:val="28"/>
        </w:rPr>
        <w:t xml:space="preserve">ом внутреннего финансового аудита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на 2019 год</w:t>
      </w:r>
      <w:r w:rsidRPr="000A317E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Г</w:t>
      </w:r>
      <w:r w:rsidRPr="000A317E">
        <w:rPr>
          <w:sz w:val="28"/>
          <w:szCs w:val="28"/>
        </w:rPr>
        <w:t xml:space="preserve">лавой </w:t>
      </w:r>
      <w:proofErr w:type="spellStart"/>
      <w:r>
        <w:rPr>
          <w:sz w:val="28"/>
          <w:szCs w:val="28"/>
        </w:rPr>
        <w:t>Купинского</w:t>
      </w:r>
      <w:proofErr w:type="spellEnd"/>
      <w:r w:rsidRPr="000A317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23.04.2019 г.</w:t>
      </w:r>
    </w:p>
    <w:p w:rsidR="005C14B2" w:rsidRPr="000A317E" w:rsidRDefault="005C14B2" w:rsidP="00936A3F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аудиторские проверки в 2019 году не осуществлялись.</w:t>
      </w:r>
    </w:p>
    <w:p w:rsidR="004B6BE0" w:rsidRDefault="00384D61" w:rsidP="00936A3F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планом, в 2019 году </w:t>
      </w:r>
      <w:r w:rsidR="004B6BE0" w:rsidRPr="000A317E">
        <w:rPr>
          <w:sz w:val="28"/>
          <w:szCs w:val="28"/>
        </w:rPr>
        <w:t>проведен</w:t>
      </w:r>
      <w:r w:rsidR="00582184">
        <w:rPr>
          <w:sz w:val="28"/>
          <w:szCs w:val="28"/>
        </w:rPr>
        <w:t>ы</w:t>
      </w:r>
      <w:r w:rsidR="004B6BE0" w:rsidRPr="000A317E">
        <w:rPr>
          <w:sz w:val="28"/>
          <w:szCs w:val="28"/>
        </w:rPr>
        <w:t xml:space="preserve"> </w:t>
      </w:r>
      <w:r w:rsidR="007A21A1">
        <w:rPr>
          <w:sz w:val="28"/>
          <w:szCs w:val="28"/>
        </w:rPr>
        <w:t>две</w:t>
      </w:r>
      <w:r w:rsidR="004B6BE0">
        <w:rPr>
          <w:sz w:val="28"/>
          <w:szCs w:val="28"/>
        </w:rPr>
        <w:t xml:space="preserve"> </w:t>
      </w:r>
      <w:r w:rsidR="00582184">
        <w:rPr>
          <w:sz w:val="28"/>
          <w:szCs w:val="28"/>
        </w:rPr>
        <w:t xml:space="preserve">аудиторские </w:t>
      </w:r>
      <w:r w:rsidR="004B6BE0" w:rsidRPr="000A317E">
        <w:rPr>
          <w:sz w:val="28"/>
          <w:szCs w:val="28"/>
        </w:rPr>
        <w:t>проверк</w:t>
      </w:r>
      <w:r w:rsidR="007A21A1">
        <w:rPr>
          <w:sz w:val="28"/>
          <w:szCs w:val="28"/>
        </w:rPr>
        <w:t>и</w:t>
      </w:r>
      <w:r w:rsidR="00582184">
        <w:rPr>
          <w:sz w:val="28"/>
          <w:szCs w:val="28"/>
        </w:rPr>
        <w:t>:</w:t>
      </w:r>
    </w:p>
    <w:p w:rsidR="002866D8" w:rsidRDefault="00582184" w:rsidP="00936A3F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аудиторская проверка отдела бухгалтерского учета и отчетности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по теме «Оценка надежности внутреннего финансового контроля, экономности и результативности использования бюджетных средств, соответствие учетной политики и ведения бюджетного учета методологии и стандартам, установленным Министерством финансов Российской Федерации</w:t>
      </w:r>
      <w:r w:rsidR="002866D8">
        <w:rPr>
          <w:sz w:val="28"/>
          <w:szCs w:val="28"/>
        </w:rPr>
        <w:t>, достоверность бюджетной отчетности»;</w:t>
      </w:r>
    </w:p>
    <w:p w:rsidR="00582184" w:rsidRDefault="002866D8" w:rsidP="00936A3F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аудиторская проверка управления экономики, финансового анализа и труда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582184">
        <w:rPr>
          <w:sz w:val="28"/>
          <w:szCs w:val="28"/>
        </w:rPr>
        <w:t xml:space="preserve"> </w:t>
      </w:r>
      <w:r w:rsidR="00384D61">
        <w:rPr>
          <w:sz w:val="28"/>
          <w:szCs w:val="28"/>
        </w:rPr>
        <w:t>по теме «Оценка надежности внутреннего финансового контроля за реализацией мероприятий по поддержке малого и среднего предпринимательства».</w:t>
      </w:r>
    </w:p>
    <w:p w:rsidR="00384D61" w:rsidRDefault="00384D61" w:rsidP="00936A3F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Проверки осуществлялись должностным лицом – ведущим экспертом, наделенным полномочиями по осуществлению внутреннего финансового аудита</w:t>
      </w:r>
      <w:r w:rsidR="00940F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0F33">
        <w:rPr>
          <w:sz w:val="28"/>
          <w:szCs w:val="28"/>
        </w:rPr>
        <w:t>И</w:t>
      </w:r>
      <w:r>
        <w:rPr>
          <w:sz w:val="28"/>
          <w:szCs w:val="28"/>
        </w:rPr>
        <w:t>ные должностные лица к привлечению а</w:t>
      </w:r>
      <w:r w:rsidR="001E3704">
        <w:rPr>
          <w:sz w:val="28"/>
          <w:szCs w:val="28"/>
        </w:rPr>
        <w:t>удиторских проверок не привлекались.</w:t>
      </w:r>
    </w:p>
    <w:p w:rsidR="00936A3F" w:rsidRDefault="005C14B2" w:rsidP="00453000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Аудиторские проверки проведены в срок, установленный распоряжениями о проведении проверок.</w:t>
      </w:r>
    </w:p>
    <w:p w:rsidR="00936A3F" w:rsidRDefault="00936A3F" w:rsidP="00453000">
      <w:pPr>
        <w:suppressLineNumbers/>
        <w:spacing w:line="360" w:lineRule="atLeast"/>
        <w:ind w:firstLine="708"/>
        <w:jc w:val="both"/>
        <w:textAlignment w:val="baseline"/>
        <w:rPr>
          <w:sz w:val="28"/>
          <w:szCs w:val="28"/>
        </w:rPr>
      </w:pPr>
      <w:r w:rsidRPr="0091013A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осуществления внутреннего финансового </w:t>
      </w:r>
      <w:r w:rsidRPr="0091013A">
        <w:rPr>
          <w:sz w:val="28"/>
          <w:szCs w:val="28"/>
        </w:rPr>
        <w:t>аудит</w:t>
      </w:r>
      <w:r>
        <w:rPr>
          <w:sz w:val="28"/>
          <w:szCs w:val="28"/>
        </w:rPr>
        <w:t xml:space="preserve">а </w:t>
      </w:r>
      <w:r w:rsidRPr="0091013A">
        <w:rPr>
          <w:sz w:val="28"/>
          <w:szCs w:val="28"/>
        </w:rPr>
        <w:lastRenderedPageBreak/>
        <w:t>установлено следующее:</w:t>
      </w:r>
      <w:bookmarkStart w:id="14" w:name="l361"/>
      <w:bookmarkEnd w:id="14"/>
    </w:p>
    <w:p w:rsidR="00936A3F" w:rsidRDefault="00453000" w:rsidP="00936A3F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36A3F" w:rsidRPr="00BF3D25">
        <w:rPr>
          <w:rFonts w:ascii="Times New Roman" w:hAnsi="Times New Roman" w:cs="Times New Roman"/>
          <w:sz w:val="28"/>
          <w:szCs w:val="28"/>
        </w:rPr>
        <w:t xml:space="preserve">арушений и недостатков при </w:t>
      </w:r>
      <w:proofErr w:type="gramStart"/>
      <w:r w:rsidR="00936A3F" w:rsidRPr="00BF3D25">
        <w:rPr>
          <w:rFonts w:ascii="Times New Roman" w:hAnsi="Times New Roman" w:cs="Times New Roman"/>
          <w:sz w:val="28"/>
          <w:szCs w:val="28"/>
        </w:rPr>
        <w:t xml:space="preserve">исполнении  </w:t>
      </w:r>
      <w:r>
        <w:rPr>
          <w:rFonts w:ascii="Times New Roman" w:hAnsi="Times New Roman" w:cs="Times New Roman"/>
          <w:sz w:val="28"/>
          <w:szCs w:val="28"/>
        </w:rPr>
        <w:t>структурными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подразделениями  </w:t>
      </w:r>
      <w:r w:rsidR="00936A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A3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3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3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36A3F" w:rsidRPr="00BF3D25">
        <w:rPr>
          <w:rFonts w:ascii="Times New Roman" w:hAnsi="Times New Roman" w:cs="Times New Roman"/>
          <w:sz w:val="28"/>
          <w:szCs w:val="28"/>
        </w:rPr>
        <w:t xml:space="preserve">  внутренних бюджетных процедур </w:t>
      </w:r>
      <w:r>
        <w:rPr>
          <w:rFonts w:ascii="Times New Roman" w:hAnsi="Times New Roman" w:cs="Times New Roman"/>
          <w:sz w:val="28"/>
          <w:szCs w:val="28"/>
        </w:rPr>
        <w:t>не выявлено;</w:t>
      </w:r>
    </w:p>
    <w:p w:rsidR="00453000" w:rsidRDefault="00453000" w:rsidP="00453000">
      <w:pPr>
        <w:pStyle w:val="a8"/>
        <w:suppressLineNumbers/>
        <w:shd w:val="clear" w:color="auto" w:fill="auto"/>
        <w:spacing w:line="240" w:lineRule="auto"/>
        <w:ind w:left="40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недостач, хищений, </w:t>
      </w:r>
      <w:r w:rsidRPr="000A317E">
        <w:rPr>
          <w:rFonts w:ascii="Times New Roman" w:hAnsi="Times New Roman" w:cs="Times New Roman"/>
          <w:sz w:val="28"/>
          <w:szCs w:val="28"/>
        </w:rPr>
        <w:t xml:space="preserve">нецелевого использования бюджетных </w:t>
      </w:r>
      <w:r>
        <w:rPr>
          <w:rFonts w:ascii="Times New Roman" w:hAnsi="Times New Roman" w:cs="Times New Roman"/>
          <w:sz w:val="28"/>
          <w:szCs w:val="28"/>
        </w:rPr>
        <w:t>средств в ходе аудиторских проверок</w:t>
      </w:r>
      <w:r w:rsidRPr="000A317E">
        <w:rPr>
          <w:rFonts w:ascii="Times New Roman" w:hAnsi="Times New Roman" w:cs="Times New Roman"/>
          <w:sz w:val="28"/>
          <w:szCs w:val="28"/>
        </w:rPr>
        <w:t xml:space="preserve"> не выявлено. </w:t>
      </w:r>
    </w:p>
    <w:p w:rsidR="00936A3F" w:rsidRDefault="00936A3F" w:rsidP="00936A3F">
      <w:pPr>
        <w:suppressLineNumbers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результатам аудиторск</w:t>
      </w:r>
      <w:r w:rsidR="00453000">
        <w:rPr>
          <w:sz w:val="28"/>
          <w:szCs w:val="28"/>
        </w:rPr>
        <w:t>их</w:t>
      </w:r>
      <w:r>
        <w:rPr>
          <w:sz w:val="28"/>
          <w:szCs w:val="28"/>
        </w:rPr>
        <w:t xml:space="preserve"> провер</w:t>
      </w:r>
      <w:r w:rsidR="00453000">
        <w:rPr>
          <w:sz w:val="28"/>
          <w:szCs w:val="28"/>
        </w:rPr>
        <w:t>о</w:t>
      </w:r>
      <w:r>
        <w:rPr>
          <w:sz w:val="28"/>
          <w:szCs w:val="28"/>
        </w:rPr>
        <w:t>к составлен</w:t>
      </w:r>
      <w:r w:rsidR="00453000">
        <w:rPr>
          <w:sz w:val="28"/>
          <w:szCs w:val="28"/>
        </w:rPr>
        <w:t>ы</w:t>
      </w:r>
      <w:r>
        <w:rPr>
          <w:sz w:val="28"/>
          <w:szCs w:val="28"/>
        </w:rPr>
        <w:t xml:space="preserve"> Акт</w:t>
      </w:r>
      <w:r w:rsidR="00453000">
        <w:rPr>
          <w:sz w:val="28"/>
          <w:szCs w:val="28"/>
        </w:rPr>
        <w:t>ы</w:t>
      </w:r>
      <w:r w:rsidR="004A1FD7">
        <w:rPr>
          <w:sz w:val="28"/>
          <w:szCs w:val="28"/>
        </w:rPr>
        <w:t xml:space="preserve"> проверок</w:t>
      </w:r>
      <w:r>
        <w:rPr>
          <w:sz w:val="28"/>
          <w:szCs w:val="28"/>
        </w:rPr>
        <w:t xml:space="preserve">.  Письменные возражения на </w:t>
      </w:r>
      <w:proofErr w:type="gramStart"/>
      <w:r>
        <w:rPr>
          <w:sz w:val="28"/>
          <w:szCs w:val="28"/>
        </w:rPr>
        <w:t>Акт</w:t>
      </w:r>
      <w:r w:rsidR="00453000">
        <w:rPr>
          <w:sz w:val="28"/>
          <w:szCs w:val="28"/>
        </w:rPr>
        <w:t>ы</w:t>
      </w:r>
      <w:r>
        <w:rPr>
          <w:sz w:val="28"/>
          <w:szCs w:val="28"/>
        </w:rPr>
        <w:t xml:space="preserve">  со</w:t>
      </w:r>
      <w:proofErr w:type="gramEnd"/>
      <w:r>
        <w:rPr>
          <w:sz w:val="28"/>
          <w:szCs w:val="28"/>
        </w:rPr>
        <w:t xml:space="preserve"> стороны объект</w:t>
      </w:r>
      <w:r w:rsidR="00453000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8C27C2">
        <w:rPr>
          <w:sz w:val="28"/>
          <w:szCs w:val="28"/>
        </w:rPr>
        <w:t>аудита</w:t>
      </w:r>
      <w:r>
        <w:rPr>
          <w:sz w:val="28"/>
          <w:szCs w:val="28"/>
        </w:rPr>
        <w:t xml:space="preserve"> не поступали.</w:t>
      </w:r>
    </w:p>
    <w:p w:rsidR="004A1FD7" w:rsidRDefault="004A1FD7" w:rsidP="00936A3F">
      <w:pPr>
        <w:suppressLineNumbers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 проверок в правоохранительные органы не направлялись, уведомления о применении бюджетных мер принуждения не составлялись.</w:t>
      </w:r>
    </w:p>
    <w:p w:rsidR="008C27C2" w:rsidRDefault="008C27C2" w:rsidP="00936A3F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аудиторских</w:t>
      </w:r>
      <w:r w:rsidR="00936A3F" w:rsidRPr="00453000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936A3F" w:rsidRPr="00453000">
        <w:rPr>
          <w:rFonts w:ascii="Times New Roman" w:hAnsi="Times New Roman" w:cs="Times New Roman"/>
          <w:sz w:val="28"/>
          <w:szCs w:val="28"/>
        </w:rPr>
        <w:t xml:space="preserve"> можно сделать вывод о надежности осуществляемого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контроля.</w:t>
      </w:r>
    </w:p>
    <w:p w:rsidR="00936A3F" w:rsidRDefault="008C27C2" w:rsidP="008C27C2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объектами аудита бюджетная (бухгалтерская) отчетность является достоверной. Ведение объектами внутреннего финансового аудита бюджетного (бухгалтерского) учета соответствует методологии и стандартам ведения бюджетного учета</w:t>
      </w:r>
      <w:r w:rsidR="00032AA1">
        <w:rPr>
          <w:rFonts w:ascii="Times New Roman" w:hAnsi="Times New Roman" w:cs="Times New Roman"/>
          <w:sz w:val="28"/>
          <w:szCs w:val="28"/>
        </w:rPr>
        <w:t>, установленным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6D8" w:rsidRDefault="005956D8" w:rsidP="008C27C2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которые оказывают или могут оказать существенное влияние на достоверность сводной бюджетной отчетности главного администратора средств районного бюджета, а также оказавшие существенное влияние на осуществление внутреннего финансового аудита отсутствуют.</w:t>
      </w:r>
    </w:p>
    <w:p w:rsidR="004B6BE0" w:rsidRPr="00D5408D" w:rsidRDefault="00936A3F" w:rsidP="00776CF4">
      <w:pPr>
        <w:pStyle w:val="ConsPlusNonformat"/>
        <w:suppressLineNumbers/>
        <w:ind w:firstLine="708"/>
        <w:jc w:val="both"/>
        <w:rPr>
          <w:rStyle w:val="a5"/>
        </w:rPr>
      </w:pPr>
      <w:r w:rsidRPr="0091013A">
        <w:rPr>
          <w:rFonts w:ascii="Times New Roman" w:hAnsi="Times New Roman" w:cs="Times New Roman"/>
          <w:sz w:val="28"/>
          <w:szCs w:val="28"/>
        </w:rPr>
        <w:t>П</w:t>
      </w:r>
      <w:r w:rsidR="008C27C2">
        <w:rPr>
          <w:rFonts w:ascii="Times New Roman" w:hAnsi="Times New Roman" w:cs="Times New Roman"/>
          <w:sz w:val="28"/>
          <w:szCs w:val="28"/>
        </w:rPr>
        <w:t xml:space="preserve">о результатам внутреннего финансового аудита объектам аудита </w:t>
      </w:r>
      <w:proofErr w:type="gramStart"/>
      <w:r w:rsidRPr="0091013A">
        <w:rPr>
          <w:rFonts w:ascii="Times New Roman" w:hAnsi="Times New Roman" w:cs="Times New Roman"/>
          <w:sz w:val="28"/>
          <w:szCs w:val="28"/>
        </w:rPr>
        <w:t>рекоменд</w:t>
      </w:r>
      <w:r w:rsidR="008C27C2">
        <w:rPr>
          <w:rFonts w:ascii="Times New Roman" w:hAnsi="Times New Roman" w:cs="Times New Roman"/>
          <w:sz w:val="28"/>
          <w:szCs w:val="28"/>
        </w:rPr>
        <w:t xml:space="preserve">овано </w:t>
      </w:r>
      <w:r>
        <w:rPr>
          <w:rFonts w:ascii="Times New Roman" w:hAnsi="Times New Roman" w:cs="Times New Roman"/>
          <w:sz w:val="28"/>
          <w:szCs w:val="28"/>
        </w:rPr>
        <w:t xml:space="preserve"> продолжать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осуществлять внутренний финансовый контроль с учетом  требований бюджетного законодательства Российской Федерации.</w:t>
      </w:r>
    </w:p>
    <w:p w:rsidR="004B6BE0" w:rsidRDefault="004B6BE0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25717A" w:rsidRDefault="0025717A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25717A" w:rsidRPr="00597B82" w:rsidRDefault="0025717A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B6BE0" w:rsidRPr="000A317E" w:rsidRDefault="004B6BE0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4B6BE0" w:rsidRPr="000A317E" w:rsidRDefault="004B6BE0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эксперт</w:t>
      </w:r>
    </w:p>
    <w:p w:rsidR="004B6BE0" w:rsidRPr="000A317E" w:rsidRDefault="004B6BE0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8"/>
          <w:szCs w:val="28"/>
        </w:rPr>
      </w:pPr>
      <w:r w:rsidRPr="000A317E">
        <w:rPr>
          <w:rFonts w:ascii="Times New Roman" w:hAnsi="Times New Roman" w:cs="Times New Roman"/>
          <w:sz w:val="28"/>
          <w:szCs w:val="28"/>
        </w:rPr>
        <w:t>по внутреннему финансовому контролю</w:t>
      </w:r>
    </w:p>
    <w:p w:rsidR="004B6BE0" w:rsidRPr="000A317E" w:rsidRDefault="004B6BE0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8"/>
          <w:szCs w:val="28"/>
        </w:rPr>
      </w:pPr>
      <w:r w:rsidRPr="000A31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</w:t>
      </w:r>
      <w:r w:rsidRPr="000A317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A317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B6BE0" w:rsidRPr="000A317E" w:rsidRDefault="004B6BE0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8"/>
          <w:szCs w:val="28"/>
        </w:rPr>
      </w:pPr>
      <w:r w:rsidRPr="000A317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r w:rsidR="002D29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31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31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Подберезная</w:t>
      </w:r>
      <w:proofErr w:type="spellEnd"/>
    </w:p>
    <w:p w:rsidR="004B6BE0" w:rsidRPr="000A317E" w:rsidRDefault="004B6BE0" w:rsidP="00936A3F">
      <w:pPr>
        <w:pStyle w:val="ConsPlusNonformat"/>
        <w:suppressLineNumber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8"/>
        <w:gridCol w:w="3259"/>
        <w:gridCol w:w="3259"/>
      </w:tblGrid>
      <w:tr w:rsidR="004B6BE0" w:rsidRPr="000A317E" w:rsidTr="00F17CBB">
        <w:tc>
          <w:tcPr>
            <w:tcW w:w="3379" w:type="dxa"/>
          </w:tcPr>
          <w:p w:rsidR="004B6BE0" w:rsidRPr="000A317E" w:rsidRDefault="004B6BE0" w:rsidP="00936A3F">
            <w:pPr>
              <w:suppressLineNumbers/>
              <w:jc w:val="both"/>
              <w:rPr>
                <w:sz w:val="28"/>
                <w:szCs w:val="28"/>
              </w:rPr>
            </w:pPr>
            <w:r w:rsidRPr="000A317E">
              <w:rPr>
                <w:sz w:val="28"/>
                <w:szCs w:val="28"/>
              </w:rPr>
              <w:t>«</w:t>
            </w:r>
            <w:r w:rsidR="00B83C01">
              <w:rPr>
                <w:sz w:val="28"/>
                <w:szCs w:val="28"/>
              </w:rPr>
              <w:t>30</w:t>
            </w:r>
            <w:r w:rsidRPr="000A317E">
              <w:rPr>
                <w:sz w:val="28"/>
                <w:szCs w:val="28"/>
              </w:rPr>
              <w:t xml:space="preserve">» </w:t>
            </w:r>
            <w:r w:rsidR="00B83C01">
              <w:rPr>
                <w:sz w:val="28"/>
                <w:szCs w:val="28"/>
              </w:rPr>
              <w:t>января</w:t>
            </w:r>
            <w:r w:rsidRPr="000A317E">
              <w:rPr>
                <w:sz w:val="28"/>
                <w:szCs w:val="28"/>
              </w:rPr>
              <w:t xml:space="preserve"> 20</w:t>
            </w:r>
            <w:r w:rsidR="00B83C01">
              <w:rPr>
                <w:sz w:val="28"/>
                <w:szCs w:val="28"/>
              </w:rPr>
              <w:t>20</w:t>
            </w:r>
            <w:r w:rsidRPr="000A317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79" w:type="dxa"/>
          </w:tcPr>
          <w:p w:rsidR="004B6BE0" w:rsidRPr="000A317E" w:rsidRDefault="004B6BE0" w:rsidP="00936A3F">
            <w:pPr>
              <w:suppressLineNumbers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4B6BE0" w:rsidRPr="000A317E" w:rsidRDefault="004B6BE0" w:rsidP="00936A3F">
            <w:pPr>
              <w:suppressLineNumbers/>
              <w:jc w:val="both"/>
              <w:rPr>
                <w:sz w:val="28"/>
                <w:szCs w:val="28"/>
              </w:rPr>
            </w:pPr>
          </w:p>
        </w:tc>
      </w:tr>
    </w:tbl>
    <w:p w:rsidR="004B6BE0" w:rsidRPr="000A317E" w:rsidRDefault="004B6BE0" w:rsidP="00936A3F">
      <w:pPr>
        <w:suppressLineNumbers/>
        <w:jc w:val="both"/>
        <w:rPr>
          <w:sz w:val="28"/>
          <w:szCs w:val="28"/>
        </w:rPr>
      </w:pPr>
    </w:p>
    <w:p w:rsidR="004B6BE0" w:rsidRPr="000A317E" w:rsidRDefault="004B6BE0" w:rsidP="00936A3F">
      <w:pPr>
        <w:suppressLineNumbers/>
        <w:jc w:val="both"/>
        <w:rPr>
          <w:sz w:val="28"/>
          <w:szCs w:val="28"/>
        </w:rPr>
      </w:pPr>
    </w:p>
    <w:p w:rsidR="00CC4520" w:rsidRDefault="00CC4520" w:rsidP="00936A3F">
      <w:pPr>
        <w:suppressLineNumbers/>
      </w:pPr>
    </w:p>
    <w:sectPr w:rsidR="00CC4520" w:rsidSect="00B640AE">
      <w:footerReference w:type="even" r:id="rId8"/>
      <w:footerReference w:type="default" r:id="rId9"/>
      <w:pgSz w:w="11909" w:h="16834" w:code="9"/>
      <w:pgMar w:top="1332" w:right="782" w:bottom="851" w:left="153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33" w:rsidRDefault="00FA0733" w:rsidP="0012115C">
      <w:r>
        <w:separator/>
      </w:r>
    </w:p>
    <w:p w:rsidR="00FA0733" w:rsidRDefault="00FA0733"/>
  </w:endnote>
  <w:endnote w:type="continuationSeparator" w:id="0">
    <w:p w:rsidR="00FA0733" w:rsidRDefault="00FA0733" w:rsidP="0012115C">
      <w:r>
        <w:continuationSeparator/>
      </w:r>
    </w:p>
    <w:p w:rsidR="00FA0733" w:rsidRDefault="00FA0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D1" w:rsidRDefault="00C27D86" w:rsidP="00FA57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40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5D1" w:rsidRDefault="00FA0733" w:rsidP="006025D1">
    <w:pPr>
      <w:pStyle w:val="a3"/>
      <w:ind w:right="360"/>
    </w:pPr>
  </w:p>
  <w:p w:rsidR="00C27D86" w:rsidRDefault="00C27D8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86" w:rsidRDefault="00C27D8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33" w:rsidRDefault="00FA0733" w:rsidP="0012115C">
      <w:r>
        <w:separator/>
      </w:r>
    </w:p>
    <w:p w:rsidR="00FA0733" w:rsidRDefault="00FA0733"/>
  </w:footnote>
  <w:footnote w:type="continuationSeparator" w:id="0">
    <w:p w:rsidR="00FA0733" w:rsidRDefault="00FA0733" w:rsidP="0012115C">
      <w:r>
        <w:continuationSeparator/>
      </w:r>
    </w:p>
    <w:p w:rsidR="00FA0733" w:rsidRDefault="00FA07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B9F"/>
    <w:multiLevelType w:val="hybridMultilevel"/>
    <w:tmpl w:val="DA44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60"/>
    <w:rsid w:val="00032AA1"/>
    <w:rsid w:val="00087AEB"/>
    <w:rsid w:val="000A2BB5"/>
    <w:rsid w:val="000F35EB"/>
    <w:rsid w:val="0012115C"/>
    <w:rsid w:val="00162D52"/>
    <w:rsid w:val="001E3704"/>
    <w:rsid w:val="00223935"/>
    <w:rsid w:val="002515B2"/>
    <w:rsid w:val="0025717A"/>
    <w:rsid w:val="002866D8"/>
    <w:rsid w:val="002C7087"/>
    <w:rsid w:val="002D290A"/>
    <w:rsid w:val="00384D61"/>
    <w:rsid w:val="00453000"/>
    <w:rsid w:val="00454060"/>
    <w:rsid w:val="004A1FD7"/>
    <w:rsid w:val="004B6BE0"/>
    <w:rsid w:val="00561325"/>
    <w:rsid w:val="00582184"/>
    <w:rsid w:val="005956D8"/>
    <w:rsid w:val="00597B82"/>
    <w:rsid w:val="005B10AB"/>
    <w:rsid w:val="005C14B2"/>
    <w:rsid w:val="00776CF4"/>
    <w:rsid w:val="007A21A1"/>
    <w:rsid w:val="00874D06"/>
    <w:rsid w:val="008C27C2"/>
    <w:rsid w:val="008C4157"/>
    <w:rsid w:val="00936A3F"/>
    <w:rsid w:val="00940F33"/>
    <w:rsid w:val="00A20291"/>
    <w:rsid w:val="00B640AE"/>
    <w:rsid w:val="00B70262"/>
    <w:rsid w:val="00B83C01"/>
    <w:rsid w:val="00B930BC"/>
    <w:rsid w:val="00BC0E70"/>
    <w:rsid w:val="00C27D86"/>
    <w:rsid w:val="00C42C36"/>
    <w:rsid w:val="00CA77FE"/>
    <w:rsid w:val="00CC4520"/>
    <w:rsid w:val="00D5408D"/>
    <w:rsid w:val="00D56A5D"/>
    <w:rsid w:val="00E37535"/>
    <w:rsid w:val="00E546FC"/>
    <w:rsid w:val="00EF4AB9"/>
    <w:rsid w:val="00F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EF230-4903-4A50-9F4D-47DC32CE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BE0"/>
    <w:pPr>
      <w:keepNext/>
      <w:widowControl/>
      <w:autoSpaceDE/>
      <w:autoSpaceDN/>
      <w:adjustRightInd/>
      <w:ind w:right="43"/>
      <w:outlineLvl w:val="0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40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40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54060"/>
  </w:style>
  <w:style w:type="paragraph" w:customStyle="1" w:styleId="ConsPlusNonformat">
    <w:name w:val="ConsPlusNonformat"/>
    <w:rsid w:val="004540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540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C4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45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6BE0"/>
    <w:rPr>
      <w:rFonts w:ascii="Calibri" w:eastAsia="Times New Roman" w:hAnsi="Calibri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4B6BE0"/>
    <w:pPr>
      <w:widowControl/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Microsoft Sans Serif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4B6BE0"/>
    <w:rPr>
      <w:rFonts w:ascii="Microsoft Sans Serif" w:eastAsia="Times New Roman" w:hAnsi="Microsoft Sans Serif" w:cs="Microsoft Sans Serif"/>
      <w:sz w:val="26"/>
      <w:szCs w:val="26"/>
      <w:shd w:val="clear" w:color="auto" w:fill="FFFFFF"/>
      <w:lang w:eastAsia="ru-RU"/>
    </w:rPr>
  </w:style>
  <w:style w:type="paragraph" w:styleId="aa">
    <w:name w:val="No Spacing"/>
    <w:uiPriority w:val="1"/>
    <w:qFormat/>
    <w:rsid w:val="004B6BE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2849-D88D-4D26-B739-D778B72C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2020-02-11T09:38:00Z</cp:lastPrinted>
  <dcterms:created xsi:type="dcterms:W3CDTF">2023-01-13T08:18:00Z</dcterms:created>
  <dcterms:modified xsi:type="dcterms:W3CDTF">2023-01-13T08:18:00Z</dcterms:modified>
</cp:coreProperties>
</file>